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jc w:val="center"/>
        <w:bidi w:val="1"/>
      </w:pPr>
      <w:r>
        <w:rPr>
          <w:rFonts w:ascii="Noto Kufi Arabic" w:hAnsi="Noto Kufi Arabic" w:cs="Noto Kufi Arabic"/>
          <w:b/>
          <w:color w:val="0F5C4D"/>
          <w:sz w:val="44"/>
        </w:rPr>
        <w:t>سياسة الرقابة الداخلية وآليات الإشراف والمتابعة</w:t>
      </w:r>
    </w:p>
    <w:p>
      <w:pPr>
        <w:jc w:val="center"/>
        <w:bidi w:val="1"/>
      </w:pPr>
      <w:r>
        <w:rPr>
          <w:rFonts w:ascii="Noto Sans Arabic" w:hAnsi="Noto Sans Arabic" w:cs="Noto Sans Arabic"/>
          <w:b/>
          <w:color w:val="B77E16"/>
          <w:sz w:val="22"/>
        </w:rPr>
        <w:t>نموذج استرشادي قابل للتعديل</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2606"/>
            <w:vAlign w:val="center"/>
            <w:shd w:fill="155B4C"/>
          </w:tcPr>
          <w:p>
            <w:pPr>
              <w:jc w:val="right"/>
              <w:bidi w:val="1"/>
            </w:pPr>
            <w:r/>
            <w:r>
              <w:rPr>
                <w:rFonts w:ascii="Noto Naskh Arabic" w:hAnsi="Noto Naskh Arabic" w:cs="Noto Naskh Arabic"/>
                <w:b/>
                <w:color w:val="FFFFFF"/>
                <w:sz w:val="19"/>
              </w:rPr>
              <w:t>اسم الجمعية</w:t>
            </w:r>
          </w:p>
        </w:tc>
        <w:tc>
          <w:tcPr>
            <w:tcW w:type="dxa" w:w="2606"/>
            <w:vAlign w:val="center"/>
          </w:tcPr>
          <w:p>
            <w:pPr>
              <w:jc w:val="right"/>
              <w:bidi w:val="1"/>
            </w:pPr>
            <w:r/>
            <w:r>
              <w:rPr>
                <w:rFonts w:ascii="Noto Naskh Arabic" w:hAnsi="Noto Naskh Arabic" w:cs="Noto Naskh Arabic"/>
                <w:b w:val="0"/>
                <w:sz w:val="19"/>
              </w:rPr>
              <w:t>[اسم الجمعية]</w:t>
            </w:r>
          </w:p>
        </w:tc>
        <w:tc>
          <w:tcPr>
            <w:tcW w:type="dxa" w:w="2606"/>
            <w:vAlign w:val="center"/>
            <w:shd w:fill="155B4C"/>
          </w:tcPr>
          <w:p>
            <w:pPr>
              <w:jc w:val="right"/>
              <w:bidi w:val="1"/>
            </w:pPr>
            <w:r/>
            <w:r>
              <w:rPr>
                <w:rFonts w:ascii="Noto Naskh Arabic" w:hAnsi="Noto Naskh Arabic" w:cs="Noto Naskh Arabic"/>
                <w:b/>
                <w:color w:val="FFFFFF"/>
                <w:sz w:val="19"/>
              </w:rPr>
              <w:t>رمز الوثيقة</w:t>
            </w:r>
          </w:p>
        </w:tc>
        <w:tc>
          <w:tcPr>
            <w:tcW w:type="dxa" w:w="2606"/>
            <w:vAlign w:val="center"/>
          </w:tcPr>
          <w:p>
            <w:pPr>
              <w:jc w:val="right"/>
              <w:bidi w:val="1"/>
            </w:pPr>
            <w:r/>
            <w:r>
              <w:rPr>
                <w:rFonts w:ascii="Noto Naskh Arabic" w:hAnsi="Noto Naskh Arabic" w:cs="Noto Naskh Arabic"/>
                <w:b w:val="0"/>
                <w:sz w:val="19"/>
              </w:rPr>
              <w:t>[رمز]</w:t>
            </w:r>
          </w:p>
        </w:tc>
      </w:tr>
      <w:tr>
        <w:tc>
          <w:tcPr>
            <w:tcW w:type="dxa" w:w="2606"/>
            <w:vAlign w:val="center"/>
            <w:shd w:fill="155B4C"/>
          </w:tcPr>
          <w:p>
            <w:pPr>
              <w:jc w:val="right"/>
              <w:bidi w:val="1"/>
            </w:pPr>
            <w:r/>
            <w:r>
              <w:rPr>
                <w:rFonts w:ascii="Noto Naskh Arabic" w:hAnsi="Noto Naskh Arabic" w:cs="Noto Naskh Arabic"/>
                <w:b/>
                <w:color w:val="FFFFFF"/>
                <w:sz w:val="19"/>
              </w:rPr>
              <w:t>الإصدار</w:t>
            </w:r>
          </w:p>
        </w:tc>
        <w:tc>
          <w:tcPr>
            <w:tcW w:type="dxa" w:w="2606"/>
            <w:vAlign w:val="center"/>
          </w:tcPr>
          <w:p>
            <w:pPr>
              <w:jc w:val="right"/>
              <w:bidi w:val="1"/>
            </w:pPr>
            <w:r/>
            <w:r>
              <w:rPr>
                <w:rFonts w:ascii="Noto Naskh Arabic" w:hAnsi="Noto Naskh Arabic" w:cs="Noto Naskh Arabic"/>
                <w:b w:val="0"/>
                <w:sz w:val="19"/>
              </w:rPr>
              <w:t>1.0</w:t>
            </w:r>
          </w:p>
        </w:tc>
        <w:tc>
          <w:tcPr>
            <w:tcW w:type="dxa" w:w="2606"/>
            <w:vAlign w:val="center"/>
            <w:shd w:fill="155B4C"/>
          </w:tcPr>
          <w:p>
            <w:pPr>
              <w:jc w:val="right"/>
              <w:bidi w:val="1"/>
            </w:pPr>
            <w:r/>
            <w:r>
              <w:rPr>
                <w:rFonts w:ascii="Noto Naskh Arabic" w:hAnsi="Noto Naskh Arabic" w:cs="Noto Naskh Arabic"/>
                <w:b/>
                <w:color w:val="FFFFFF"/>
                <w:sz w:val="19"/>
              </w:rPr>
              <w:t>تاريخ الاعتماد</w:t>
            </w:r>
          </w:p>
        </w:tc>
        <w:tc>
          <w:tcPr>
            <w:tcW w:type="dxa" w:w="2606"/>
            <w:vAlign w:val="center"/>
          </w:tcPr>
          <w:p>
            <w:pPr>
              <w:jc w:val="right"/>
              <w:bidi w:val="1"/>
            </w:pPr>
            <w:r/>
            <w:r>
              <w:rPr>
                <w:rFonts w:ascii="Noto Naskh Arabic" w:hAnsi="Noto Naskh Arabic" w:cs="Noto Naskh Arabic"/>
                <w:b w:val="0"/>
                <w:sz w:val="19"/>
              </w:rPr>
              <w:t>[اليوم/الشهر/السنة]</w:t>
            </w:r>
          </w:p>
        </w:tc>
      </w:tr>
      <w:tr>
        <w:tc>
          <w:tcPr>
            <w:tcW w:type="dxa" w:w="2606"/>
            <w:vAlign w:val="center"/>
            <w:shd w:fill="155B4C"/>
          </w:tcPr>
          <w:p>
            <w:pPr>
              <w:jc w:val="right"/>
              <w:bidi w:val="1"/>
            </w:pPr>
            <w:r/>
            <w:r>
              <w:rPr>
                <w:rFonts w:ascii="Noto Naskh Arabic" w:hAnsi="Noto Naskh Arabic" w:cs="Noto Naskh Arabic"/>
                <w:b/>
                <w:color w:val="FFFFFF"/>
                <w:sz w:val="19"/>
              </w:rPr>
              <w:t>قرار الاعتماد</w:t>
            </w:r>
          </w:p>
        </w:tc>
        <w:tc>
          <w:tcPr>
            <w:tcW w:type="dxa" w:w="2606"/>
            <w:vAlign w:val="center"/>
          </w:tcPr>
          <w:p>
            <w:pPr>
              <w:jc w:val="right"/>
              <w:bidi w:val="1"/>
            </w:pPr>
            <w:r/>
            <w:r>
              <w:rPr>
                <w:rFonts w:ascii="Noto Naskh Arabic" w:hAnsi="Noto Naskh Arabic" w:cs="Noto Naskh Arabic"/>
                <w:b w:val="0"/>
                <w:sz w:val="19"/>
              </w:rPr>
              <w:t>[رقم القرار]</w:t>
            </w:r>
          </w:p>
        </w:tc>
        <w:tc>
          <w:tcPr>
            <w:tcW w:type="dxa" w:w="2606"/>
            <w:vAlign w:val="center"/>
            <w:shd w:fill="155B4C"/>
          </w:tcPr>
          <w:p>
            <w:pPr>
              <w:jc w:val="right"/>
              <w:bidi w:val="1"/>
            </w:pPr>
            <w:r/>
            <w:r>
              <w:rPr>
                <w:rFonts w:ascii="Noto Naskh Arabic" w:hAnsi="Noto Naskh Arabic" w:cs="Noto Naskh Arabic"/>
                <w:b/>
                <w:color w:val="FFFFFF"/>
                <w:sz w:val="19"/>
              </w:rPr>
              <w:t>مسؤول الوثيقة</w:t>
            </w:r>
          </w:p>
        </w:tc>
        <w:tc>
          <w:tcPr>
            <w:tcW w:type="dxa" w:w="2606"/>
            <w:vAlign w:val="center"/>
          </w:tcPr>
          <w:p>
            <w:pPr>
              <w:jc w:val="right"/>
              <w:bidi w:val="1"/>
            </w:pPr>
            <w:r/>
            <w:r>
              <w:rPr>
                <w:rFonts w:ascii="Noto Naskh Arabic" w:hAnsi="Noto Naskh Arabic" w:cs="Noto Naskh Arabic"/>
                <w:b w:val="0"/>
                <w:sz w:val="19"/>
              </w:rPr>
              <w:t>[المسمى الوظيفي]</w:t>
            </w:r>
          </w:p>
        </w:tc>
      </w:tr>
      <w:tr>
        <w:tc>
          <w:tcPr>
            <w:tcW w:type="dxa" w:w="2606"/>
            <w:vAlign w:val="center"/>
            <w:shd w:fill="155B4C"/>
          </w:tcPr>
          <w:p>
            <w:pPr>
              <w:jc w:val="right"/>
              <w:bidi w:val="1"/>
            </w:pPr>
            <w:r/>
            <w:r>
              <w:rPr>
                <w:rFonts w:ascii="Noto Naskh Arabic" w:hAnsi="Noto Naskh Arabic" w:cs="Noto Naskh Arabic"/>
                <w:b/>
                <w:color w:val="FFFFFF"/>
                <w:sz w:val="19"/>
              </w:rPr>
              <w:t>دورية المراجعة</w:t>
            </w:r>
          </w:p>
        </w:tc>
        <w:tc>
          <w:tcPr>
            <w:tcW w:type="dxa" w:w="2606"/>
            <w:vAlign w:val="center"/>
          </w:tcPr>
          <w:p>
            <w:pPr>
              <w:jc w:val="right"/>
              <w:bidi w:val="1"/>
            </w:pPr>
            <w:r/>
            <w:r>
              <w:rPr>
                <w:rFonts w:ascii="Noto Naskh Arabic" w:hAnsi="Noto Naskh Arabic" w:cs="Noto Naskh Arabic"/>
                <w:b w:val="0"/>
                <w:sz w:val="19"/>
              </w:rPr>
              <w:t>سنويًا أو عند الحاجة</w:t>
            </w:r>
          </w:p>
        </w:tc>
        <w:tc>
          <w:tcPr>
            <w:tcW w:type="dxa" w:w="2606"/>
            <w:vAlign w:val="center"/>
            <w:shd w:fill="155B4C"/>
          </w:tcPr>
          <w:p>
            <w:pPr>
              <w:jc w:val="right"/>
              <w:bidi w:val="1"/>
            </w:pPr>
            <w:r/>
            <w:r>
              <w:rPr>
                <w:rFonts w:ascii="Noto Naskh Arabic" w:hAnsi="Noto Naskh Arabic" w:cs="Noto Naskh Arabic"/>
                <w:b/>
                <w:color w:val="FFFFFF"/>
                <w:sz w:val="19"/>
              </w:rPr>
              <w:t>حالة الوثيقة</w:t>
            </w:r>
          </w:p>
        </w:tc>
        <w:tc>
          <w:tcPr>
            <w:tcW w:type="dxa" w:w="2606"/>
            <w:vAlign w:val="center"/>
          </w:tcPr>
          <w:p>
            <w:pPr>
              <w:jc w:val="right"/>
              <w:bidi w:val="1"/>
            </w:pPr>
            <w:r/>
            <w:r>
              <w:rPr>
                <w:rFonts w:ascii="Noto Naskh Arabic" w:hAnsi="Noto Naskh Arabic" w:cs="Noto Naskh Arabic"/>
                <w:b w:val="0"/>
                <w:sz w:val="19"/>
              </w:rPr>
              <w:t>مسودة للمراجعة</w:t>
            </w:r>
          </w:p>
        </w:tc>
      </w:tr>
    </w:tbl>
    <w:p>
      <w:pPr>
        <w:spacing w:before="160" w:after="160" w:line="276" w:lineRule="auto"/>
        <w:jc w:val="right"/>
        <w:bidi w:val="1"/>
      </w:pPr>
      <w:r>
        <w:rPr>
          <w:rFonts w:ascii="Noto Naskh Arabic" w:hAnsi="Noto Naskh Arabic" w:cs="Noto Naskh Arabic"/>
          <w:b/>
          <w:color w:val="914114"/>
          <w:sz w:val="20"/>
        </w:rPr>
        <w:t>تنبيه: يجب مواءمة هذا النموذج مع نشاط الجمعية ولائحتها الأساسية والأنظمة واللوائح السارية، ثم اعتماده رسميًا قبل نشره أو تطبيقه.</w:t>
      </w:r>
    </w:p>
    <w:p>
      <w:pPr>
        <w:spacing w:before="160" w:after="100" w:line="276" w:lineRule="auto"/>
        <w:jc w:val="right"/>
        <w:bidi w:val="1"/>
      </w:pPr>
      <w:r>
        <w:rPr>
          <w:rFonts w:ascii="Noto Naskh Arabic" w:hAnsi="Noto Naskh Arabic" w:cs="Noto Naskh Arabic"/>
          <w:b/>
          <w:color w:val="155B4C"/>
          <w:sz w:val="32"/>
        </w:rPr>
        <w:t>بيانات الوثيقة</w:t>
      </w:r>
    </w:p>
    <w:p>
      <w:pPr>
        <w:pStyle w:val="ListBullet"/>
        <w:spacing w:after="60" w:line="269" w:lineRule="auto"/>
        <w:ind w:left="283" w:right="340"/>
        <w:jc w:val="right"/>
        <w:bidi w:val="1"/>
      </w:pPr>
      <w:r>
        <w:rPr>
          <w:rFonts w:ascii="Noto Naskh Arabic" w:hAnsi="Noto Naskh Arabic" w:cs="Noto Naskh Arabic"/>
          <w:b w:val="0"/>
          <w:sz w:val="21"/>
        </w:rPr>
        <w:t>التصنيف: السياسات.</w:t>
      </w:r>
    </w:p>
    <w:p>
      <w:pPr>
        <w:pStyle w:val="ListBullet"/>
        <w:spacing w:after="60" w:line="269" w:lineRule="auto"/>
        <w:ind w:left="283" w:right="340"/>
        <w:jc w:val="right"/>
        <w:bidi w:val="1"/>
      </w:pPr>
      <w:r>
        <w:rPr>
          <w:rFonts w:ascii="Noto Naskh Arabic" w:hAnsi="Noto Naskh Arabic" w:cs="Noto Naskh Arabic"/>
          <w:b w:val="0"/>
          <w:sz w:val="21"/>
        </w:rPr>
        <w:t>نطاق التطبيق: مجلس الإدارة، والإدارة التنفيذية، والموظفون، والمتطوعون، والمتعاقدون بحسب طبيعة الوثيقة.</w:t>
      </w:r>
    </w:p>
    <w:p>
      <w:pPr>
        <w:pStyle w:val="ListBullet"/>
        <w:spacing w:after="60" w:line="269" w:lineRule="auto"/>
        <w:ind w:left="283" w:right="340"/>
        <w:jc w:val="right"/>
        <w:bidi w:val="1"/>
      </w:pPr>
      <w:r>
        <w:rPr>
          <w:rFonts w:ascii="Noto Naskh Arabic" w:hAnsi="Noto Naskh Arabic" w:cs="Noto Naskh Arabic"/>
          <w:b w:val="0"/>
          <w:sz w:val="21"/>
        </w:rPr>
        <w:t>سجل التعديل: توثق كل مراجعة برقم إصدار وتاريخ وملخص للتغيير وقرار الاعتماد.</w:t>
      </w:r>
    </w:p>
    <w:p>
      <w:pPr>
        <w:spacing w:before="160" w:after="100" w:line="276" w:lineRule="auto"/>
        <w:jc w:val="right"/>
        <w:bidi w:val="1"/>
      </w:pPr>
      <w:r>
        <w:rPr>
          <w:rFonts w:ascii="Noto Naskh Arabic" w:hAnsi="Noto Naskh Arabic" w:cs="Noto Naskh Arabic"/>
          <w:b/>
          <w:color w:val="155B4C"/>
          <w:sz w:val="26"/>
        </w:rPr>
        <w:t>الهدف</w:t>
      </w:r>
    </w:p>
    <w:p>
      <w:pPr>
        <w:pStyle w:val="ListBullet"/>
        <w:spacing w:after="60" w:line="269" w:lineRule="auto"/>
        <w:ind w:left="283" w:right="340"/>
        <w:jc w:val="right"/>
        <w:bidi w:val="1"/>
      </w:pPr>
      <w:r>
        <w:rPr>
          <w:rFonts w:ascii="Noto Naskh Arabic" w:hAnsi="Noto Naskh Arabic" w:cs="Noto Naskh Arabic"/>
          <w:b w:val="0"/>
          <w:sz w:val="21"/>
        </w:rPr>
        <w:t>توفير ضمان معقول لسلامة العمليات والتقارير والامتثال وحماية الأصول.</w:t>
      </w:r>
    </w:p>
    <w:p>
      <w:pPr>
        <w:spacing w:before="160" w:after="100" w:line="276" w:lineRule="auto"/>
        <w:jc w:val="right"/>
        <w:bidi w:val="1"/>
      </w:pPr>
      <w:r>
        <w:rPr>
          <w:rFonts w:ascii="Noto Naskh Arabic" w:hAnsi="Noto Naskh Arabic" w:cs="Noto Naskh Arabic"/>
          <w:b/>
          <w:color w:val="155B4C"/>
          <w:sz w:val="26"/>
        </w:rPr>
        <w:t>بيئة الرقابة</w:t>
      </w:r>
    </w:p>
    <w:p>
      <w:pPr>
        <w:pStyle w:val="ListBullet"/>
        <w:spacing w:after="60" w:line="269" w:lineRule="auto"/>
        <w:ind w:left="283" w:right="340"/>
        <w:jc w:val="right"/>
        <w:bidi w:val="1"/>
      </w:pPr>
      <w:r>
        <w:rPr>
          <w:rFonts w:ascii="Noto Naskh Arabic" w:hAnsi="Noto Naskh Arabic" w:cs="Noto Naskh Arabic"/>
          <w:b w:val="0"/>
          <w:sz w:val="21"/>
        </w:rPr>
        <w:t>تحدد المسؤوليات والسلوك الأخلاقي والصلاحيات، ويقود مجلس الإدارة ثقافة المساءلة.</w:t>
      </w:r>
    </w:p>
    <w:p>
      <w:pPr>
        <w:spacing w:before="160" w:after="100" w:line="276" w:lineRule="auto"/>
        <w:jc w:val="right"/>
        <w:bidi w:val="1"/>
      </w:pPr>
      <w:r>
        <w:rPr>
          <w:rFonts w:ascii="Noto Naskh Arabic" w:hAnsi="Noto Naskh Arabic" w:cs="Noto Naskh Arabic"/>
          <w:b/>
          <w:color w:val="155B4C"/>
          <w:sz w:val="26"/>
        </w:rPr>
        <w:t>الأنشطة الرقابية</w:t>
      </w:r>
    </w:p>
    <w:p>
      <w:pPr>
        <w:pStyle w:val="ListBullet"/>
        <w:spacing w:after="60" w:line="269" w:lineRule="auto"/>
        <w:ind w:left="283" w:right="340"/>
        <w:jc w:val="right"/>
        <w:bidi w:val="1"/>
      </w:pPr>
      <w:r>
        <w:rPr>
          <w:rFonts w:ascii="Noto Naskh Arabic" w:hAnsi="Noto Naskh Arabic" w:cs="Noto Naskh Arabic"/>
          <w:b w:val="0"/>
          <w:sz w:val="21"/>
        </w:rPr>
        <w:t>الفصل بين الواجبات، والموافقات، والمطابقات، والجرد، ومراجعة الاستثناءات، وضبط الوصول للأنظمة.</w:t>
      </w:r>
    </w:p>
    <w:p>
      <w:pPr>
        <w:spacing w:before="160" w:after="100" w:line="276" w:lineRule="auto"/>
        <w:jc w:val="right"/>
        <w:bidi w:val="1"/>
      </w:pPr>
      <w:r>
        <w:rPr>
          <w:rFonts w:ascii="Noto Naskh Arabic" w:hAnsi="Noto Naskh Arabic" w:cs="Noto Naskh Arabic"/>
          <w:b/>
          <w:color w:val="155B4C"/>
          <w:sz w:val="26"/>
        </w:rPr>
        <w:t>الإشراف والمتابعة</w:t>
      </w:r>
    </w:p>
    <w:p>
      <w:pPr>
        <w:pStyle w:val="ListBullet"/>
        <w:spacing w:after="60" w:line="269" w:lineRule="auto"/>
        <w:ind w:left="283" w:right="340"/>
        <w:jc w:val="right"/>
        <w:bidi w:val="1"/>
      </w:pPr>
      <w:r>
        <w:rPr>
          <w:rFonts w:ascii="Noto Naskh Arabic" w:hAnsi="Noto Naskh Arabic" w:cs="Noto Naskh Arabic"/>
          <w:b w:val="0"/>
          <w:sz w:val="21"/>
        </w:rPr>
        <w:t>يراجع المديرون مؤشرات الأداء والالتزام، وتنفذ مراجعات دورية مستقلة بقدر الإمكان.</w:t>
      </w:r>
    </w:p>
    <w:p>
      <w:pPr>
        <w:pStyle w:val="ListBullet"/>
        <w:spacing w:after="60" w:line="269" w:lineRule="auto"/>
        <w:ind w:left="283" w:right="340"/>
        <w:jc w:val="right"/>
        <w:bidi w:val="1"/>
      </w:pPr>
      <w:r>
        <w:rPr>
          <w:rFonts w:ascii="Noto Naskh Arabic" w:hAnsi="Noto Naskh Arabic" w:cs="Noto Naskh Arabic"/>
          <w:b w:val="0"/>
          <w:sz w:val="21"/>
        </w:rPr>
        <w:t>توثق الملاحظات بحسب الخطورة والمالك والموعد، ويتابع الإغلاق بالأدلة.</w:t>
      </w:r>
    </w:p>
    <w:p>
      <w:pPr>
        <w:spacing w:before="160" w:after="100" w:line="276" w:lineRule="auto"/>
        <w:jc w:val="right"/>
        <w:bidi w:val="1"/>
      </w:pPr>
      <w:r>
        <w:rPr>
          <w:rFonts w:ascii="Noto Naskh Arabic" w:hAnsi="Noto Naskh Arabic" w:cs="Noto Naskh Arabic"/>
          <w:b/>
          <w:color w:val="155B4C"/>
          <w:sz w:val="26"/>
        </w:rPr>
        <w:t>التقارير</w:t>
      </w:r>
    </w:p>
    <w:p>
      <w:pPr>
        <w:pStyle w:val="ListBullet"/>
        <w:spacing w:after="60" w:line="269" w:lineRule="auto"/>
        <w:ind w:left="283" w:right="340"/>
        <w:jc w:val="right"/>
        <w:bidi w:val="1"/>
      </w:pPr>
      <w:r>
        <w:rPr>
          <w:rFonts w:ascii="Noto Naskh Arabic" w:hAnsi="Noto Naskh Arabic" w:cs="Noto Naskh Arabic"/>
          <w:b w:val="0"/>
          <w:sz w:val="21"/>
        </w:rPr>
        <w:t>ترفع المخالفات الجوهرية أو الاشتباه في الاحتيال فورًا للجهة المختصة دون تعطيل التحقيق.</w:t>
      </w:r>
    </w:p>
    <w:p>
      <w:pPr>
        <w:spacing w:before="160" w:after="100" w:line="276" w:lineRule="auto"/>
        <w:jc w:val="right"/>
        <w:bidi w:val="1"/>
      </w:pPr>
      <w:r>
        <w:rPr>
          <w:rFonts w:ascii="Noto Naskh Arabic" w:hAnsi="Noto Naskh Arabic" w:cs="Noto Naskh Arabic"/>
          <w:b/>
          <w:color w:val="155B4C"/>
          <w:sz w:val="26"/>
        </w:rPr>
        <w:t>التقييم السنوي</w:t>
      </w:r>
    </w:p>
    <w:p>
      <w:pPr>
        <w:pStyle w:val="ListBullet"/>
        <w:spacing w:after="60" w:line="269" w:lineRule="auto"/>
        <w:ind w:left="283" w:right="340"/>
        <w:jc w:val="right"/>
        <w:bidi w:val="1"/>
      </w:pPr>
      <w:r>
        <w:rPr>
          <w:rFonts w:ascii="Noto Naskh Arabic" w:hAnsi="Noto Naskh Arabic" w:cs="Noto Naskh Arabic"/>
          <w:b w:val="0"/>
          <w:sz w:val="21"/>
        </w:rPr>
        <w:t>يقيّم تصميم الضوابط وفاعليتها وتحدث خطة التحسين، ويعرض الملخص على مجلس الإدارة.</w:t>
      </w:r>
    </w:p>
    <w:p>
      <w:pPr>
        <w:spacing w:before="160" w:after="100" w:line="276" w:lineRule="auto"/>
        <w:jc w:val="right"/>
        <w:bidi w:val="1"/>
      </w:pPr>
      <w:r>
        <w:rPr>
          <w:rFonts w:ascii="Noto Naskh Arabic" w:hAnsi="Noto Naskh Arabic" w:cs="Noto Naskh Arabic"/>
          <w:b/>
          <w:color w:val="155B4C"/>
          <w:sz w:val="26"/>
        </w:rPr>
        <w:t>المراجعة والاعتماد</w:t>
      </w:r>
    </w:p>
    <w:p>
      <w:pPr>
        <w:pStyle w:val="ListBullet"/>
        <w:spacing w:after="60" w:line="269" w:lineRule="auto"/>
        <w:ind w:left="283" w:right="340"/>
        <w:jc w:val="right"/>
        <w:bidi w:val="1"/>
      </w:pPr>
      <w:r>
        <w:rPr>
          <w:rFonts w:ascii="Noto Naskh Arabic" w:hAnsi="Noto Naskh Arabic" w:cs="Noto Naskh Arabic"/>
          <w:b w:val="0"/>
          <w:sz w:val="21"/>
        </w:rPr>
        <w:t>تراجع الوثيقة دوريًا وعند صدور تحديث نظامي أو حدوث تغيير جوهري في أعمال الجمعية.</w:t>
      </w:r>
    </w:p>
    <w:p>
      <w:pPr>
        <w:pStyle w:val="ListBullet"/>
        <w:spacing w:after="60" w:line="269" w:lineRule="auto"/>
        <w:ind w:left="283" w:right="340"/>
        <w:jc w:val="right"/>
        <w:bidi w:val="1"/>
      </w:pPr>
      <w:r>
        <w:rPr>
          <w:rFonts w:ascii="Noto Naskh Arabic" w:hAnsi="Noto Naskh Arabic" w:cs="Noto Naskh Arabic"/>
          <w:b w:val="0"/>
          <w:sz w:val="21"/>
        </w:rPr>
        <w:t>لا تصبح الوثيقة نافذة إلا بعد اعتمادها وفق الصلاحيات المعتمدة في الجمعية.</w:t>
      </w:r>
    </w:p>
    <w:p>
      <w:pPr>
        <w:pStyle w:val="ListBullet"/>
        <w:spacing w:after="60" w:line="269" w:lineRule="auto"/>
        <w:ind w:left="283" w:right="340"/>
        <w:jc w:val="right"/>
        <w:bidi w:val="1"/>
      </w:pPr>
      <w:r>
        <w:rPr>
          <w:rFonts w:ascii="Noto Naskh Arabic" w:hAnsi="Noto Naskh Arabic" w:cs="Noto Naskh Arabic"/>
          <w:b w:val="0"/>
          <w:sz w:val="21"/>
        </w:rPr>
        <w:t>تحفظ النسخة المعتمدة وسجل التعديلات في مستودع الوثائق الرسمي، وتنشر النسخة المخصصة للإفصاح عند الحاجة.</w:t>
      </w:r>
    </w:p>
    <w:tbl>
      <w:tblPr>
        <w:tblStyle w:val="TableGrid"/>
        <w:tblW w:type="auto" w:w="0"/>
        <w:jc w:val="center"/>
        <w:tblLook w:firstColumn="1" w:firstRow="1" w:lastColumn="0" w:lastRow="0" w:noHBand="0" w:noVBand="1" w:val="04A0"/>
      </w:tblPr>
      <w:tblGrid>
        <w:gridCol w:w="3475"/>
        <w:gridCol w:w="3475"/>
        <w:gridCol w:w="3475"/>
      </w:tblGrid>
      <w:tr>
        <w:tc>
          <w:tcPr>
            <w:tcW w:type="dxa" w:w="3475"/>
            <w:shd w:fill="155B4C"/>
          </w:tcPr>
          <w:p>
            <w:pPr>
              <w:jc w:val="center"/>
              <w:bidi w:val="1"/>
            </w:pPr>
            <w:r/>
            <w:r>
              <w:rPr>
                <w:rFonts w:ascii="Noto Naskh Arabic" w:hAnsi="Noto Naskh Arabic" w:cs="Noto Naskh Arabic"/>
                <w:b/>
                <w:color w:val="FFFFFF"/>
                <w:sz w:val="19"/>
              </w:rPr>
              <w:t>الإعداد</w:t>
            </w:r>
          </w:p>
        </w:tc>
        <w:tc>
          <w:tcPr>
            <w:tcW w:type="dxa" w:w="3475"/>
            <w:shd w:fill="155B4C"/>
          </w:tcPr>
          <w:p>
            <w:pPr>
              <w:jc w:val="center"/>
              <w:bidi w:val="1"/>
            </w:pPr>
            <w:r/>
            <w:r>
              <w:rPr>
                <w:rFonts w:ascii="Noto Naskh Arabic" w:hAnsi="Noto Naskh Arabic" w:cs="Noto Naskh Arabic"/>
                <w:b/>
                <w:color w:val="FFFFFF"/>
                <w:sz w:val="19"/>
              </w:rPr>
              <w:t>المراجعة</w:t>
            </w:r>
          </w:p>
        </w:tc>
        <w:tc>
          <w:tcPr>
            <w:tcW w:type="dxa" w:w="3475"/>
            <w:shd w:fill="155B4C"/>
          </w:tcPr>
          <w:p>
            <w:pPr>
              <w:jc w:val="center"/>
              <w:bidi w:val="1"/>
            </w:pPr>
            <w:r/>
            <w:r>
              <w:rPr>
                <w:rFonts w:ascii="Noto Naskh Arabic" w:hAnsi="Noto Naskh Arabic" w:cs="Noto Naskh Arabic"/>
                <w:b/>
                <w:color w:val="FFFFFF"/>
                <w:sz w:val="19"/>
              </w:rPr>
              <w:t>الاعتماد</w:t>
            </w:r>
          </w:p>
        </w:tc>
      </w:tr>
      <w:tr>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[مجلس الإدارة/صاحب الصلاحية]</w:t>
            </w:r>
          </w:p>
        </w:tc>
      </w:tr>
      <w:tr>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[رقم القرار والتاريخ]</w:t>
            </w:r>
          </w:p>
        </w:tc>
      </w:tr>
    </w:tbl>
    <w:p>
      <w:pPr>
        <w:spacing w:before="200" w:after="40" w:line="276" w:lineRule="auto"/>
        <w:jc w:val="right"/>
        <w:bidi w:val="1"/>
      </w:pPr>
      <w:r>
        <w:rPr>
          <w:rFonts w:ascii="Noto Naskh Arabic" w:hAnsi="Noto Naskh Arabic" w:cs="Noto Naskh Arabic"/>
          <w:b w:val="0"/>
          <w:color w:val="646464"/>
          <w:sz w:val="17"/>
        </w:rPr>
        <w:t>مصادر الاسترشاد: قواعد وأدلة المركز الوطني لتنمية القطاع غير الربحي، والموضوعات والبنى المتكررة في وثائق الحوكمة المنشورة علنًا في مواقع جمعيات أهلية سعودية. أُعيدت صياغة المحتوى كنموذج عام ولم يُنسخ كوثيقة خاصة بأي جمعية.</w:t>
      </w:r>
    </w:p>
    <w:sectPr w:rsidR="00FC693F" w:rsidRPr="0006063C" w:rsidSect="00034616">
      <w:headerReference w:type="default" r:id="rId9"/>
      <w:footerReference w:type="default" r:id="rId10"/>
      <w:pgSz w:w="12240" w:h="15840"/>
      <w:pgMar w:top="907" w:right="907" w:bottom="85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Naskh Arabic" w:hAnsi="Noto Naskh Arabic" w:cs="Noto Naskh Arabic"/>
        <w:b w:val="0"/>
        <w:color w:val="646464"/>
        <w:sz w:val="16"/>
      </w:rPr>
      <w:t>نموذج استرشادي قابل للتعديل - لا يعد معتمدًا إلا بعد مراجعته واعتماده من الجهة المختصة في الجمعية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bidi w:val="1"/>
    </w:pPr>
    <w:r>
      <w:rPr>
        <w:rFonts w:ascii="Noto Kufi Arabic" w:hAnsi="Noto Kufi Arabic" w:cs="Noto Kufi Arabic"/>
        <w:b/>
        <w:color w:val="46625B"/>
        <w:sz w:val="18"/>
      </w:rPr>
      <w:t>[شعار الجمعية]   |   [اسم الجمعية]</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Naskh Arabic" w:hAnsi="Noto Naskh Arabic" w:cs="Noto Naskh Arabi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Noto Naskh Arabic" w:hAnsi="Noto Naskh Arabic" w:cs="Noto Naskh Arabic"/>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Noto Naskh Arabic" w:hAnsi="Noto Naskh Arabic" w:cs="Noto Naskh Arabic"/>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