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سياسة الاحتفاظ بالوثائق وإتلافها</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السياسات.</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الهدف</w:t>
      </w:r>
    </w:p>
    <w:p>
      <w:pPr>
        <w:pStyle w:val="ListBullet"/>
        <w:spacing w:after="60" w:line="269" w:lineRule="auto"/>
        <w:ind w:left="283" w:right="340"/>
        <w:jc w:val="right"/>
        <w:bidi w:val="1"/>
      </w:pPr>
      <w:r>
        <w:rPr>
          <w:rFonts w:ascii="Noto Naskh Arabic" w:hAnsi="Noto Naskh Arabic" w:cs="Noto Naskh Arabic"/>
          <w:b w:val="0"/>
          <w:sz w:val="21"/>
        </w:rPr>
        <w:t>تنظيم إنشاء الوثائق وتصنيفها وحفظها واسترجاعها وإتلافها بصورة آمنة ومنضبطة.</w:t>
      </w:r>
    </w:p>
    <w:p>
      <w:pPr>
        <w:spacing w:before="160" w:after="100" w:line="276" w:lineRule="auto"/>
        <w:jc w:val="right"/>
        <w:bidi w:val="1"/>
      </w:pPr>
      <w:r>
        <w:rPr>
          <w:rFonts w:ascii="Noto Naskh Arabic" w:hAnsi="Noto Naskh Arabic" w:cs="Noto Naskh Arabic"/>
          <w:b/>
          <w:color w:val="155B4C"/>
          <w:sz w:val="26"/>
        </w:rPr>
        <w:t>تصنيف الوثائق</w:t>
      </w:r>
    </w:p>
    <w:p>
      <w:pPr>
        <w:pStyle w:val="ListBullet"/>
        <w:spacing w:after="60" w:line="269" w:lineRule="auto"/>
        <w:ind w:left="283" w:right="340"/>
        <w:jc w:val="right"/>
        <w:bidi w:val="1"/>
      </w:pPr>
      <w:r>
        <w:rPr>
          <w:rFonts w:ascii="Noto Naskh Arabic" w:hAnsi="Noto Naskh Arabic" w:cs="Noto Naskh Arabic"/>
          <w:b w:val="0"/>
          <w:sz w:val="21"/>
        </w:rPr>
        <w:t>وثائق دائمة: اللائحة الأساسية، القرارات الجوهرية، سجلات العضوية، العقود والأصول بحسب المتطلبات النظامية.</w:t>
      </w:r>
    </w:p>
    <w:p>
      <w:pPr>
        <w:pStyle w:val="ListBullet"/>
        <w:spacing w:after="60" w:line="269" w:lineRule="auto"/>
        <w:ind w:left="283" w:right="340"/>
        <w:jc w:val="right"/>
        <w:bidi w:val="1"/>
      </w:pPr>
      <w:r>
        <w:rPr>
          <w:rFonts w:ascii="Noto Naskh Arabic" w:hAnsi="Noto Naskh Arabic" w:cs="Noto Naskh Arabic"/>
          <w:b w:val="0"/>
          <w:sz w:val="21"/>
        </w:rPr>
        <w:t>وثائق محددة المدة: المعاملات المالية والموارد البشرية والمشروعات والمراسلات وفق جدول الاحتفاظ.</w:t>
      </w:r>
    </w:p>
    <w:p>
      <w:pPr>
        <w:pStyle w:val="ListBullet"/>
        <w:spacing w:after="60" w:line="269" w:lineRule="auto"/>
        <w:ind w:left="283" w:right="340"/>
        <w:jc w:val="right"/>
        <w:bidi w:val="1"/>
      </w:pPr>
      <w:r>
        <w:rPr>
          <w:rFonts w:ascii="Noto Naskh Arabic" w:hAnsi="Noto Naskh Arabic" w:cs="Noto Naskh Arabic"/>
          <w:b w:val="0"/>
          <w:sz w:val="21"/>
        </w:rPr>
        <w:t>وثائق مؤقتة: النسخ المكررة ومسودات العمل بعد انتهاء الحاجة.</w:t>
      </w:r>
    </w:p>
    <w:p>
      <w:pPr>
        <w:spacing w:before="160" w:after="100" w:line="276" w:lineRule="auto"/>
        <w:jc w:val="right"/>
        <w:bidi w:val="1"/>
      </w:pPr>
      <w:r>
        <w:rPr>
          <w:rFonts w:ascii="Noto Naskh Arabic" w:hAnsi="Noto Naskh Arabic" w:cs="Noto Naskh Arabic"/>
          <w:b/>
          <w:color w:val="155B4C"/>
          <w:sz w:val="26"/>
        </w:rPr>
        <w:t>الحفظ</w:t>
      </w:r>
    </w:p>
    <w:p>
      <w:pPr>
        <w:pStyle w:val="ListBullet"/>
        <w:spacing w:after="60" w:line="269" w:lineRule="auto"/>
        <w:ind w:left="283" w:right="340"/>
        <w:jc w:val="right"/>
        <w:bidi w:val="1"/>
      </w:pPr>
      <w:r>
        <w:rPr>
          <w:rFonts w:ascii="Noto Naskh Arabic" w:hAnsi="Noto Naskh Arabic" w:cs="Noto Naskh Arabic"/>
          <w:b w:val="0"/>
          <w:sz w:val="21"/>
        </w:rPr>
        <w:t>تحدد الجهة المالكة لكل سجل ومكان الحفظ ومدة الاحتفاظ ومستوى السرية.</w:t>
      </w:r>
    </w:p>
    <w:p>
      <w:pPr>
        <w:pStyle w:val="ListBullet"/>
        <w:spacing w:after="60" w:line="269" w:lineRule="auto"/>
        <w:ind w:left="283" w:right="340"/>
        <w:jc w:val="right"/>
        <w:bidi w:val="1"/>
      </w:pPr>
      <w:r>
        <w:rPr>
          <w:rFonts w:ascii="Noto Naskh Arabic" w:hAnsi="Noto Naskh Arabic" w:cs="Noto Naskh Arabic"/>
          <w:b w:val="0"/>
          <w:sz w:val="21"/>
        </w:rPr>
        <w:t>تنشأ نسخ احتياطية للوثائق الإلكترونية وتختبر الاستعادة دوريًا.</w:t>
      </w:r>
    </w:p>
    <w:p>
      <w:pPr>
        <w:spacing w:before="160" w:after="100" w:line="276" w:lineRule="auto"/>
        <w:jc w:val="right"/>
        <w:bidi w:val="1"/>
      </w:pPr>
      <w:r>
        <w:rPr>
          <w:rFonts w:ascii="Noto Naskh Arabic" w:hAnsi="Noto Naskh Arabic" w:cs="Noto Naskh Arabic"/>
          <w:b/>
          <w:color w:val="155B4C"/>
          <w:sz w:val="26"/>
        </w:rPr>
        <w:t>تعليق الإتلاف</w:t>
      </w:r>
    </w:p>
    <w:p>
      <w:pPr>
        <w:pStyle w:val="ListBullet"/>
        <w:spacing w:after="60" w:line="269" w:lineRule="auto"/>
        <w:ind w:left="283" w:right="340"/>
        <w:jc w:val="right"/>
        <w:bidi w:val="1"/>
      </w:pPr>
      <w:r>
        <w:rPr>
          <w:rFonts w:ascii="Noto Naskh Arabic" w:hAnsi="Noto Naskh Arabic" w:cs="Noto Naskh Arabic"/>
          <w:b w:val="0"/>
          <w:sz w:val="21"/>
        </w:rPr>
        <w:t>يوقف الإتلاف عند وجود نزاع أو تحقيق أو طلب رسمي أو مراجعة حتى انتهاء السبب.</w:t>
      </w:r>
    </w:p>
    <w:p>
      <w:pPr>
        <w:spacing w:before="160" w:after="100" w:line="276" w:lineRule="auto"/>
        <w:jc w:val="right"/>
        <w:bidi w:val="1"/>
      </w:pPr>
      <w:r>
        <w:rPr>
          <w:rFonts w:ascii="Noto Naskh Arabic" w:hAnsi="Noto Naskh Arabic" w:cs="Noto Naskh Arabic"/>
          <w:b/>
          <w:color w:val="155B4C"/>
          <w:sz w:val="26"/>
        </w:rPr>
        <w:t>الإتلاف</w:t>
      </w:r>
    </w:p>
    <w:p>
      <w:pPr>
        <w:pStyle w:val="ListBullet"/>
        <w:spacing w:after="60" w:line="269" w:lineRule="auto"/>
        <w:ind w:left="283" w:right="340"/>
        <w:jc w:val="right"/>
        <w:bidi w:val="1"/>
      </w:pPr>
      <w:r>
        <w:rPr>
          <w:rFonts w:ascii="Noto Naskh Arabic" w:hAnsi="Noto Naskh Arabic" w:cs="Noto Naskh Arabic"/>
          <w:b w:val="0"/>
          <w:sz w:val="21"/>
        </w:rPr>
        <w:t>يعد كشف بالوثائق المرشحة ويعتمد من صاحب الصلاحية.</w:t>
      </w:r>
    </w:p>
    <w:p>
      <w:pPr>
        <w:pStyle w:val="ListBullet"/>
        <w:spacing w:after="60" w:line="269" w:lineRule="auto"/>
        <w:ind w:left="283" w:right="340"/>
        <w:jc w:val="right"/>
        <w:bidi w:val="1"/>
      </w:pPr>
      <w:r>
        <w:rPr>
          <w:rFonts w:ascii="Noto Naskh Arabic" w:hAnsi="Noto Naskh Arabic" w:cs="Noto Naskh Arabic"/>
          <w:b w:val="0"/>
          <w:sz w:val="21"/>
        </w:rPr>
        <w:t>تتلف الأوراق بالفرم الآمن والبيانات الإلكترونية بالمحو غير القابل للاستعادة، ويوثق محضر الإتلاف.</w:t>
      </w:r>
    </w:p>
    <w:p>
      <w:pPr>
        <w:spacing w:before="160" w:after="100" w:line="276" w:lineRule="auto"/>
        <w:jc w:val="right"/>
        <w:bidi w:val="1"/>
      </w:pPr>
      <w:r>
        <w:rPr>
          <w:rFonts w:ascii="Noto Naskh Arabic" w:hAnsi="Noto Naskh Arabic" w:cs="Noto Naskh Arabic"/>
          <w:b/>
          <w:color w:val="155B4C"/>
          <w:sz w:val="26"/>
        </w:rPr>
        <w:t>الخصوصية والوصول</w:t>
      </w:r>
    </w:p>
    <w:p>
      <w:pPr>
        <w:pStyle w:val="ListBullet"/>
        <w:spacing w:after="60" w:line="269" w:lineRule="auto"/>
        <w:ind w:left="283" w:right="340"/>
        <w:jc w:val="right"/>
        <w:bidi w:val="1"/>
      </w:pPr>
      <w:r>
        <w:rPr>
          <w:rFonts w:ascii="Noto Naskh Arabic" w:hAnsi="Noto Naskh Arabic" w:cs="Noto Naskh Arabic"/>
          <w:b w:val="0"/>
          <w:sz w:val="21"/>
        </w:rPr>
        <w:t>تطبق أقل صلاحية لازمة ويسجل الوصول للوثائق الحساسة متى أمكن.</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