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إدارة المخاطر</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بناء منهج موحد لتحديد المخاطر وتقييمها ومعالجتها ومراقبتها بما يدعم تحقيق أهداف الجمعية.</w:t>
      </w:r>
    </w:p>
    <w:p>
      <w:pPr>
        <w:spacing w:before="160" w:after="100" w:line="276" w:lineRule="auto"/>
        <w:jc w:val="right"/>
        <w:bidi w:val="1"/>
      </w:pPr>
      <w:r>
        <w:rPr>
          <w:rFonts w:ascii="Noto Naskh Arabic" w:hAnsi="Noto Naskh Arabic" w:cs="Noto Naskh Arabic"/>
          <w:b/>
          <w:color w:val="155B4C"/>
          <w:sz w:val="26"/>
        </w:rPr>
        <w:t>فئات المخاطر</w:t>
      </w:r>
    </w:p>
    <w:p>
      <w:pPr>
        <w:pStyle w:val="ListBullet"/>
        <w:spacing w:after="60" w:line="269" w:lineRule="auto"/>
        <w:ind w:left="283" w:right="340"/>
        <w:jc w:val="right"/>
        <w:bidi w:val="1"/>
      </w:pPr>
      <w:r>
        <w:rPr>
          <w:rFonts w:ascii="Noto Naskh Arabic" w:hAnsi="Noto Naskh Arabic" w:cs="Noto Naskh Arabic"/>
          <w:b w:val="0"/>
          <w:sz w:val="21"/>
        </w:rPr>
        <w:t>استراتيجية، مالية، تشغيلية، نظامية وامتثال، سمعة، تقنية وأمن معلومات، سلامة، موارد بشرية، شراكات وموردون.</w:t>
      </w:r>
    </w:p>
    <w:p>
      <w:pPr>
        <w:spacing w:before="160" w:after="100" w:line="276" w:lineRule="auto"/>
        <w:jc w:val="right"/>
        <w:bidi w:val="1"/>
      </w:pPr>
      <w:r>
        <w:rPr>
          <w:rFonts w:ascii="Noto Naskh Arabic" w:hAnsi="Noto Naskh Arabic" w:cs="Noto Naskh Arabic"/>
          <w:b/>
          <w:color w:val="155B4C"/>
          <w:sz w:val="26"/>
        </w:rPr>
        <w:t>منهجية التقييم</w:t>
      </w:r>
    </w:p>
    <w:p>
      <w:pPr>
        <w:pStyle w:val="ListBullet"/>
        <w:spacing w:after="60" w:line="269" w:lineRule="auto"/>
        <w:ind w:left="283" w:right="340"/>
        <w:jc w:val="right"/>
        <w:bidi w:val="1"/>
      </w:pPr>
      <w:r>
        <w:rPr>
          <w:rFonts w:ascii="Noto Naskh Arabic" w:hAnsi="Noto Naskh Arabic" w:cs="Noto Naskh Arabic"/>
          <w:b w:val="0"/>
          <w:sz w:val="21"/>
        </w:rPr>
        <w:t>تحديد الحدث والسبب والأثر والضوابط القائمة.</w:t>
      </w:r>
    </w:p>
    <w:p>
      <w:pPr>
        <w:pStyle w:val="ListBullet"/>
        <w:spacing w:after="60" w:line="269" w:lineRule="auto"/>
        <w:ind w:left="283" w:right="340"/>
        <w:jc w:val="right"/>
        <w:bidi w:val="1"/>
      </w:pPr>
      <w:r>
        <w:rPr>
          <w:rFonts w:ascii="Noto Naskh Arabic" w:hAnsi="Noto Naskh Arabic" w:cs="Noto Naskh Arabic"/>
          <w:b w:val="0"/>
          <w:sz w:val="21"/>
        </w:rPr>
        <w:t>تقدير الاحتمال والأثر قبل الضوابط وبعدها وفق مقياس معتمد.</w:t>
      </w:r>
    </w:p>
    <w:p>
      <w:pPr>
        <w:pStyle w:val="ListBullet"/>
        <w:spacing w:after="60" w:line="269" w:lineRule="auto"/>
        <w:ind w:left="283" w:right="340"/>
        <w:jc w:val="right"/>
        <w:bidi w:val="1"/>
      </w:pPr>
      <w:r>
        <w:rPr>
          <w:rFonts w:ascii="Noto Naskh Arabic" w:hAnsi="Noto Naskh Arabic" w:cs="Noto Naskh Arabic"/>
          <w:b w:val="0"/>
          <w:sz w:val="21"/>
        </w:rPr>
        <w:t>تصنيف مستوى الخطر وتحديد المالك وخطة المعالجة والموعد.</w:t>
      </w:r>
    </w:p>
    <w:p>
      <w:pPr>
        <w:spacing w:before="160" w:after="100" w:line="276" w:lineRule="auto"/>
        <w:jc w:val="right"/>
        <w:bidi w:val="1"/>
      </w:pPr>
      <w:r>
        <w:rPr>
          <w:rFonts w:ascii="Noto Naskh Arabic" w:hAnsi="Noto Naskh Arabic" w:cs="Noto Naskh Arabic"/>
          <w:b/>
          <w:color w:val="155B4C"/>
          <w:sz w:val="26"/>
        </w:rPr>
        <w:t>خيارات المعالجة</w:t>
      </w:r>
    </w:p>
    <w:p>
      <w:pPr>
        <w:pStyle w:val="ListBullet"/>
        <w:spacing w:after="60" w:line="269" w:lineRule="auto"/>
        <w:ind w:left="283" w:right="340"/>
        <w:jc w:val="right"/>
        <w:bidi w:val="1"/>
      </w:pPr>
      <w:r>
        <w:rPr>
          <w:rFonts w:ascii="Noto Naskh Arabic" w:hAnsi="Noto Naskh Arabic" w:cs="Noto Naskh Arabic"/>
          <w:b w:val="0"/>
          <w:sz w:val="21"/>
        </w:rPr>
        <w:t>تجنب الخطر، أو خفضه، أو نقله بعقد أو تأمين، أو قبوله ضمن شهية المخاطر المعتمدة.</w:t>
      </w:r>
    </w:p>
    <w:p>
      <w:pPr>
        <w:spacing w:before="160" w:after="100" w:line="276" w:lineRule="auto"/>
        <w:jc w:val="right"/>
        <w:bidi w:val="1"/>
      </w:pPr>
      <w:r>
        <w:rPr>
          <w:rFonts w:ascii="Noto Naskh Arabic" w:hAnsi="Noto Naskh Arabic" w:cs="Noto Naskh Arabic"/>
          <w:b/>
          <w:color w:val="155B4C"/>
          <w:sz w:val="26"/>
        </w:rPr>
        <w:t>سجل المخاطر</w:t>
      </w:r>
    </w:p>
    <w:p>
      <w:pPr>
        <w:pStyle w:val="ListBullet"/>
        <w:spacing w:after="60" w:line="269" w:lineRule="auto"/>
        <w:ind w:left="283" w:right="340"/>
        <w:jc w:val="right"/>
        <w:bidi w:val="1"/>
      </w:pPr>
      <w:r>
        <w:rPr>
          <w:rFonts w:ascii="Noto Naskh Arabic" w:hAnsi="Noto Naskh Arabic" w:cs="Noto Naskh Arabic"/>
          <w:b w:val="0"/>
          <w:sz w:val="21"/>
        </w:rPr>
        <w:t>يحفظ سجل مركزي يتضمن المؤشرات والضوابط وخطط المعالجة وحالة التنفيذ.</w:t>
      </w:r>
    </w:p>
    <w:p>
      <w:pPr>
        <w:spacing w:before="160" w:after="100" w:line="276" w:lineRule="auto"/>
        <w:jc w:val="right"/>
        <w:bidi w:val="1"/>
      </w:pPr>
      <w:r>
        <w:rPr>
          <w:rFonts w:ascii="Noto Naskh Arabic" w:hAnsi="Noto Naskh Arabic" w:cs="Noto Naskh Arabic"/>
          <w:b/>
          <w:color w:val="155B4C"/>
          <w:sz w:val="26"/>
        </w:rPr>
        <w:t>التقارير</w:t>
      </w:r>
    </w:p>
    <w:p>
      <w:pPr>
        <w:pStyle w:val="ListBullet"/>
        <w:spacing w:after="60" w:line="269" w:lineRule="auto"/>
        <w:ind w:left="283" w:right="340"/>
        <w:jc w:val="right"/>
        <w:bidi w:val="1"/>
      </w:pPr>
      <w:r>
        <w:rPr>
          <w:rFonts w:ascii="Noto Naskh Arabic" w:hAnsi="Noto Naskh Arabic" w:cs="Noto Naskh Arabic"/>
          <w:b w:val="0"/>
          <w:sz w:val="21"/>
        </w:rPr>
        <w:t>ترفع المخاطر العالية فورًا، ويعرض تقرير دوري على الإدارة ومجلس الإدارة أو اللجنة المختصة.</w:t>
      </w:r>
    </w:p>
    <w:p>
      <w:pPr>
        <w:spacing w:before="160" w:after="100" w:line="276" w:lineRule="auto"/>
        <w:jc w:val="right"/>
        <w:bidi w:val="1"/>
      </w:pPr>
      <w:r>
        <w:rPr>
          <w:rFonts w:ascii="Noto Naskh Arabic" w:hAnsi="Noto Naskh Arabic" w:cs="Noto Naskh Arabic"/>
          <w:b/>
          <w:color w:val="155B4C"/>
          <w:sz w:val="26"/>
        </w:rPr>
        <w:t>استمرارية الأعمال</w:t>
      </w:r>
    </w:p>
    <w:p>
      <w:pPr>
        <w:pStyle w:val="ListBullet"/>
        <w:spacing w:after="60" w:line="269" w:lineRule="auto"/>
        <w:ind w:left="283" w:right="340"/>
        <w:jc w:val="right"/>
        <w:bidi w:val="1"/>
      </w:pPr>
      <w:r>
        <w:rPr>
          <w:rFonts w:ascii="Noto Naskh Arabic" w:hAnsi="Noto Naskh Arabic" w:cs="Noto Naskh Arabic"/>
          <w:b w:val="0"/>
          <w:sz w:val="21"/>
        </w:rPr>
        <w:t>تحدد الخدمات الحرجة وبدائل التشغيل والاتصال والتعافي، وتختبر الخطط دوريًا.</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