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خصوصية البيانات</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جمع البيانات الشخصية واستخدامها وحفظها ومشاركتها وإتلافها بما يحمي أصحابها ويلتزم بالأنظمة السارية.</w:t>
      </w:r>
    </w:p>
    <w:p>
      <w:pPr>
        <w:spacing w:before="160" w:after="100" w:line="276" w:lineRule="auto"/>
        <w:jc w:val="right"/>
        <w:bidi w:val="1"/>
      </w:pPr>
      <w:r>
        <w:rPr>
          <w:rFonts w:ascii="Noto Naskh Arabic" w:hAnsi="Noto Naskh Arabic" w:cs="Noto Naskh Arabic"/>
          <w:b/>
          <w:color w:val="155B4C"/>
          <w:sz w:val="26"/>
        </w:rPr>
        <w:t>مبادئ المعالجة</w:t>
      </w:r>
    </w:p>
    <w:p>
      <w:pPr>
        <w:pStyle w:val="ListBullet"/>
        <w:spacing w:after="60" w:line="269" w:lineRule="auto"/>
        <w:ind w:left="283" w:right="340"/>
        <w:jc w:val="right"/>
        <w:bidi w:val="1"/>
      </w:pPr>
      <w:r>
        <w:rPr>
          <w:rFonts w:ascii="Noto Naskh Arabic" w:hAnsi="Noto Naskh Arabic" w:cs="Noto Naskh Arabic"/>
          <w:b w:val="0"/>
          <w:sz w:val="21"/>
        </w:rPr>
        <w:t>تحديد الغرض، وتقليل البيانات، والدقة، والاحتفاظ للمدة اللازمة، والأمن، والشفافية.</w:t>
      </w:r>
    </w:p>
    <w:p>
      <w:pPr>
        <w:spacing w:before="160" w:after="100" w:line="276" w:lineRule="auto"/>
        <w:jc w:val="right"/>
        <w:bidi w:val="1"/>
      </w:pPr>
      <w:r>
        <w:rPr>
          <w:rFonts w:ascii="Noto Naskh Arabic" w:hAnsi="Noto Naskh Arabic" w:cs="Noto Naskh Arabic"/>
          <w:b/>
          <w:color w:val="155B4C"/>
          <w:sz w:val="26"/>
        </w:rPr>
        <w:t>الإشعار والموافقة</w:t>
      </w:r>
    </w:p>
    <w:p>
      <w:pPr>
        <w:pStyle w:val="ListBullet"/>
        <w:spacing w:after="60" w:line="269" w:lineRule="auto"/>
        <w:ind w:left="283" w:right="340"/>
        <w:jc w:val="right"/>
        <w:bidi w:val="1"/>
      </w:pPr>
      <w:r>
        <w:rPr>
          <w:rFonts w:ascii="Noto Naskh Arabic" w:hAnsi="Noto Naskh Arabic" w:cs="Noto Naskh Arabic"/>
          <w:b w:val="0"/>
          <w:sz w:val="21"/>
        </w:rPr>
        <w:t>يوضح لصاحب البيانات ما يجمع ولماذا وكيف يستخدم وحقوقه وقنوات التواصل.</w:t>
      </w:r>
    </w:p>
    <w:p>
      <w:pPr>
        <w:pStyle w:val="ListBullet"/>
        <w:spacing w:after="60" w:line="269" w:lineRule="auto"/>
        <w:ind w:left="283" w:right="340"/>
        <w:jc w:val="right"/>
        <w:bidi w:val="1"/>
      </w:pPr>
      <w:r>
        <w:rPr>
          <w:rFonts w:ascii="Noto Naskh Arabic" w:hAnsi="Noto Naskh Arabic" w:cs="Noto Naskh Arabic"/>
          <w:b w:val="0"/>
          <w:sz w:val="21"/>
        </w:rPr>
        <w:t>تحصل الموافقات عندما تكون مطلوبة وتوثق ويمكن سحبها وفق النظام.</w:t>
      </w:r>
    </w:p>
    <w:p>
      <w:pPr>
        <w:spacing w:before="160" w:after="100" w:line="276" w:lineRule="auto"/>
        <w:jc w:val="right"/>
        <w:bidi w:val="1"/>
      </w:pPr>
      <w:r>
        <w:rPr>
          <w:rFonts w:ascii="Noto Naskh Arabic" w:hAnsi="Noto Naskh Arabic" w:cs="Noto Naskh Arabic"/>
          <w:b/>
          <w:color w:val="155B4C"/>
          <w:sz w:val="26"/>
        </w:rPr>
        <w:t>الوصول والمشاركة</w:t>
      </w:r>
    </w:p>
    <w:p>
      <w:pPr>
        <w:pStyle w:val="ListBullet"/>
        <w:spacing w:after="60" w:line="269" w:lineRule="auto"/>
        <w:ind w:left="283" w:right="340"/>
        <w:jc w:val="right"/>
        <w:bidi w:val="1"/>
      </w:pPr>
      <w:r>
        <w:rPr>
          <w:rFonts w:ascii="Noto Naskh Arabic" w:hAnsi="Noto Naskh Arabic" w:cs="Noto Naskh Arabic"/>
          <w:b w:val="0"/>
          <w:sz w:val="21"/>
        </w:rPr>
        <w:t>تقيد الصلاحيات حسب الدور، ولا تشارك البيانات مع طرف ثالث إلا لغرض مشروع وباتفاق يحميها.</w:t>
      </w:r>
    </w:p>
    <w:p>
      <w:pPr>
        <w:spacing w:before="160" w:after="100" w:line="276" w:lineRule="auto"/>
        <w:jc w:val="right"/>
        <w:bidi w:val="1"/>
      </w:pPr>
      <w:r>
        <w:rPr>
          <w:rFonts w:ascii="Noto Naskh Arabic" w:hAnsi="Noto Naskh Arabic" w:cs="Noto Naskh Arabic"/>
          <w:b/>
          <w:color w:val="155B4C"/>
          <w:sz w:val="26"/>
        </w:rPr>
        <w:t>أمن البيانات</w:t>
      </w:r>
    </w:p>
    <w:p>
      <w:pPr>
        <w:pStyle w:val="ListBullet"/>
        <w:spacing w:after="60" w:line="269" w:lineRule="auto"/>
        <w:ind w:left="283" w:right="340"/>
        <w:jc w:val="right"/>
        <w:bidi w:val="1"/>
      </w:pPr>
      <w:r>
        <w:rPr>
          <w:rFonts w:ascii="Noto Naskh Arabic" w:hAnsi="Noto Naskh Arabic" w:cs="Noto Naskh Arabic"/>
          <w:b w:val="0"/>
          <w:sz w:val="21"/>
        </w:rPr>
        <w:t>تطبق كلمات مرور قوية، وتشفير أو حماية مناسبة، ونسخ احتياطي، وتحديثات، وسجلات وصول للأنظمة الحساسة.</w:t>
      </w:r>
    </w:p>
    <w:p>
      <w:pPr>
        <w:spacing w:before="160" w:after="100" w:line="276" w:lineRule="auto"/>
        <w:jc w:val="right"/>
        <w:bidi w:val="1"/>
      </w:pPr>
      <w:r>
        <w:rPr>
          <w:rFonts w:ascii="Noto Naskh Arabic" w:hAnsi="Noto Naskh Arabic" w:cs="Noto Naskh Arabic"/>
          <w:b/>
          <w:color w:val="155B4C"/>
          <w:sz w:val="26"/>
        </w:rPr>
        <w:t>حقوق أصحاب البيانات</w:t>
      </w:r>
    </w:p>
    <w:p>
      <w:pPr>
        <w:pStyle w:val="ListBullet"/>
        <w:spacing w:after="60" w:line="269" w:lineRule="auto"/>
        <w:ind w:left="283" w:right="340"/>
        <w:jc w:val="right"/>
        <w:bidi w:val="1"/>
      </w:pPr>
      <w:r>
        <w:rPr>
          <w:rFonts w:ascii="Noto Naskh Arabic" w:hAnsi="Noto Naskh Arabic" w:cs="Noto Naskh Arabic"/>
          <w:b w:val="0"/>
          <w:sz w:val="21"/>
        </w:rPr>
        <w:t>طلبات الوصول والتصحيح والإتلاف أو الاعتراض تعالج عبر آلية موثقة ضمن المدد النظامية.</w:t>
      </w:r>
    </w:p>
    <w:p>
      <w:pPr>
        <w:spacing w:before="160" w:after="100" w:line="276" w:lineRule="auto"/>
        <w:jc w:val="right"/>
        <w:bidi w:val="1"/>
      </w:pPr>
      <w:r>
        <w:rPr>
          <w:rFonts w:ascii="Noto Naskh Arabic" w:hAnsi="Noto Naskh Arabic" w:cs="Noto Naskh Arabic"/>
          <w:b/>
          <w:color w:val="155B4C"/>
          <w:sz w:val="26"/>
        </w:rPr>
        <w:t>الحوادث</w:t>
      </w:r>
    </w:p>
    <w:p>
      <w:pPr>
        <w:pStyle w:val="ListBullet"/>
        <w:spacing w:after="60" w:line="269" w:lineRule="auto"/>
        <w:ind w:left="283" w:right="340"/>
        <w:jc w:val="right"/>
        <w:bidi w:val="1"/>
      </w:pPr>
      <w:r>
        <w:rPr>
          <w:rFonts w:ascii="Noto Naskh Arabic" w:hAnsi="Noto Naskh Arabic" w:cs="Noto Naskh Arabic"/>
          <w:b w:val="0"/>
          <w:sz w:val="21"/>
        </w:rPr>
        <w:t>تعزل الحادثة وتقيّم آثارها وتوثق وتبلغ الجهات أو أصحاب البيانات عندما يلزم.</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