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after="80"/>
        <w:jc w:val="center"/>
        <w:bidi w:val="1"/>
      </w:pPr>
      <w:r>
        <w:rPr>
          <w:rFonts w:ascii="Noto Kufi Arabic" w:hAnsi="Noto Kufi Arabic" w:cs="Noto Kufi Arabic"/>
          <w:b/>
          <w:color w:val="0F5C4D"/>
          <w:sz w:val="44"/>
        </w:rPr>
        <w:t>سياسة جمع التبرعات</w:t>
      </w:r>
    </w:p>
    <w:p>
      <w:pPr>
        <w:jc w:val="center"/>
        <w:bidi w:val="1"/>
      </w:pPr>
      <w:r>
        <w:rPr>
          <w:rFonts w:ascii="Noto Sans Arabic" w:hAnsi="Noto Sans Arabic" w:cs="Noto Sans Arabic"/>
          <w:b/>
          <w:color w:val="B77E16"/>
          <w:sz w:val="22"/>
        </w:rPr>
        <w:t>نموذج استرشادي قابل للتعديل</w:t>
      </w:r>
    </w:p>
    <w:tbl>
      <w:tblPr>
        <w:tblStyle w:val="TableGrid"/>
        <w:tblW w:type="auto" w:w="0"/>
        <w:jc w:val="center"/>
        <w:tblLook w:firstColumn="1" w:firstRow="1" w:lastColumn="0" w:lastRow="0" w:noHBand="0" w:noVBand="1" w:val="04A0"/>
      </w:tblPr>
      <w:tblGrid>
        <w:gridCol w:w="2606"/>
        <w:gridCol w:w="2606"/>
        <w:gridCol w:w="2606"/>
        <w:gridCol w:w="2606"/>
      </w:tblGrid>
      <w:tr>
        <w:tc>
          <w:tcPr>
            <w:tcW w:type="dxa" w:w="2606"/>
            <w:vAlign w:val="center"/>
            <w:shd w:fill="155B4C"/>
          </w:tcPr>
          <w:p>
            <w:pPr>
              <w:jc w:val="right"/>
              <w:bidi w:val="1"/>
            </w:pPr>
            <w:r/>
            <w:r>
              <w:rPr>
                <w:rFonts w:ascii="Noto Naskh Arabic" w:hAnsi="Noto Naskh Arabic" w:cs="Noto Naskh Arabic"/>
                <w:b/>
                <w:color w:val="FFFFFF"/>
                <w:sz w:val="19"/>
              </w:rPr>
              <w:t>اسم الجمعية</w:t>
            </w:r>
          </w:p>
        </w:tc>
        <w:tc>
          <w:tcPr>
            <w:tcW w:type="dxa" w:w="2606"/>
            <w:vAlign w:val="center"/>
          </w:tcPr>
          <w:p>
            <w:pPr>
              <w:jc w:val="right"/>
              <w:bidi w:val="1"/>
            </w:pPr>
            <w:r/>
            <w:r>
              <w:rPr>
                <w:rFonts w:ascii="Noto Naskh Arabic" w:hAnsi="Noto Naskh Arabic" w:cs="Noto Naskh Arabic"/>
                <w:b w:val="0"/>
                <w:sz w:val="19"/>
              </w:rPr>
              <w:t>[اسم الجمعية]</w:t>
            </w:r>
          </w:p>
        </w:tc>
        <w:tc>
          <w:tcPr>
            <w:tcW w:type="dxa" w:w="2606"/>
            <w:vAlign w:val="center"/>
            <w:shd w:fill="155B4C"/>
          </w:tcPr>
          <w:p>
            <w:pPr>
              <w:jc w:val="right"/>
              <w:bidi w:val="1"/>
            </w:pPr>
            <w:r/>
            <w:r>
              <w:rPr>
                <w:rFonts w:ascii="Noto Naskh Arabic" w:hAnsi="Noto Naskh Arabic" w:cs="Noto Naskh Arabic"/>
                <w:b/>
                <w:color w:val="FFFFFF"/>
                <w:sz w:val="19"/>
              </w:rPr>
              <w:t>رمز الوثيقة</w:t>
            </w:r>
          </w:p>
        </w:tc>
        <w:tc>
          <w:tcPr>
            <w:tcW w:type="dxa" w:w="2606"/>
            <w:vAlign w:val="center"/>
          </w:tcPr>
          <w:p>
            <w:pPr>
              <w:jc w:val="right"/>
              <w:bidi w:val="1"/>
            </w:pPr>
            <w:r/>
            <w:r>
              <w:rPr>
                <w:rFonts w:ascii="Noto Naskh Arabic" w:hAnsi="Noto Naskh Arabic" w:cs="Noto Naskh Arabic"/>
                <w:b w:val="0"/>
                <w:sz w:val="19"/>
              </w:rPr>
              <w:t>[رمز]</w:t>
            </w:r>
          </w:p>
        </w:tc>
      </w:tr>
      <w:tr>
        <w:tc>
          <w:tcPr>
            <w:tcW w:type="dxa" w:w="2606"/>
            <w:vAlign w:val="center"/>
            <w:shd w:fill="155B4C"/>
          </w:tcPr>
          <w:p>
            <w:pPr>
              <w:jc w:val="right"/>
              <w:bidi w:val="1"/>
            </w:pPr>
            <w:r/>
            <w:r>
              <w:rPr>
                <w:rFonts w:ascii="Noto Naskh Arabic" w:hAnsi="Noto Naskh Arabic" w:cs="Noto Naskh Arabic"/>
                <w:b/>
                <w:color w:val="FFFFFF"/>
                <w:sz w:val="19"/>
              </w:rPr>
              <w:t>الإصدار</w:t>
            </w:r>
          </w:p>
        </w:tc>
        <w:tc>
          <w:tcPr>
            <w:tcW w:type="dxa" w:w="2606"/>
            <w:vAlign w:val="center"/>
          </w:tcPr>
          <w:p>
            <w:pPr>
              <w:jc w:val="right"/>
              <w:bidi w:val="1"/>
            </w:pPr>
            <w:r/>
            <w:r>
              <w:rPr>
                <w:rFonts w:ascii="Noto Naskh Arabic" w:hAnsi="Noto Naskh Arabic" w:cs="Noto Naskh Arabic"/>
                <w:b w:val="0"/>
                <w:sz w:val="19"/>
              </w:rPr>
              <w:t>1.0</w:t>
            </w:r>
          </w:p>
        </w:tc>
        <w:tc>
          <w:tcPr>
            <w:tcW w:type="dxa" w:w="2606"/>
            <w:vAlign w:val="center"/>
            <w:shd w:fill="155B4C"/>
          </w:tcPr>
          <w:p>
            <w:pPr>
              <w:jc w:val="right"/>
              <w:bidi w:val="1"/>
            </w:pPr>
            <w:r/>
            <w:r>
              <w:rPr>
                <w:rFonts w:ascii="Noto Naskh Arabic" w:hAnsi="Noto Naskh Arabic" w:cs="Noto Naskh Arabic"/>
                <w:b/>
                <w:color w:val="FFFFFF"/>
                <w:sz w:val="19"/>
              </w:rPr>
              <w:t>تاريخ الاعتماد</w:t>
            </w:r>
          </w:p>
        </w:tc>
        <w:tc>
          <w:tcPr>
            <w:tcW w:type="dxa" w:w="2606"/>
            <w:vAlign w:val="center"/>
          </w:tcPr>
          <w:p>
            <w:pPr>
              <w:jc w:val="right"/>
              <w:bidi w:val="1"/>
            </w:pPr>
            <w:r/>
            <w:r>
              <w:rPr>
                <w:rFonts w:ascii="Noto Naskh Arabic" w:hAnsi="Noto Naskh Arabic" w:cs="Noto Naskh Arabic"/>
                <w:b w:val="0"/>
                <w:sz w:val="19"/>
              </w:rPr>
              <w:t>[اليوم/الشهر/السنة]</w:t>
            </w:r>
          </w:p>
        </w:tc>
      </w:tr>
      <w:tr>
        <w:tc>
          <w:tcPr>
            <w:tcW w:type="dxa" w:w="2606"/>
            <w:vAlign w:val="center"/>
            <w:shd w:fill="155B4C"/>
          </w:tcPr>
          <w:p>
            <w:pPr>
              <w:jc w:val="right"/>
              <w:bidi w:val="1"/>
            </w:pPr>
            <w:r/>
            <w:r>
              <w:rPr>
                <w:rFonts w:ascii="Noto Naskh Arabic" w:hAnsi="Noto Naskh Arabic" w:cs="Noto Naskh Arabic"/>
                <w:b/>
                <w:color w:val="FFFFFF"/>
                <w:sz w:val="19"/>
              </w:rPr>
              <w:t>قرار الاعتماد</w:t>
            </w:r>
          </w:p>
        </w:tc>
        <w:tc>
          <w:tcPr>
            <w:tcW w:type="dxa" w:w="2606"/>
            <w:vAlign w:val="center"/>
          </w:tcPr>
          <w:p>
            <w:pPr>
              <w:jc w:val="right"/>
              <w:bidi w:val="1"/>
            </w:pPr>
            <w:r/>
            <w:r>
              <w:rPr>
                <w:rFonts w:ascii="Noto Naskh Arabic" w:hAnsi="Noto Naskh Arabic" w:cs="Noto Naskh Arabic"/>
                <w:b w:val="0"/>
                <w:sz w:val="19"/>
              </w:rPr>
              <w:t>[رقم القرار]</w:t>
            </w:r>
          </w:p>
        </w:tc>
        <w:tc>
          <w:tcPr>
            <w:tcW w:type="dxa" w:w="2606"/>
            <w:vAlign w:val="center"/>
            <w:shd w:fill="155B4C"/>
          </w:tcPr>
          <w:p>
            <w:pPr>
              <w:jc w:val="right"/>
              <w:bidi w:val="1"/>
            </w:pPr>
            <w:r/>
            <w:r>
              <w:rPr>
                <w:rFonts w:ascii="Noto Naskh Arabic" w:hAnsi="Noto Naskh Arabic" w:cs="Noto Naskh Arabic"/>
                <w:b/>
                <w:color w:val="FFFFFF"/>
                <w:sz w:val="19"/>
              </w:rPr>
              <w:t>مسؤول الوثيقة</w:t>
            </w:r>
          </w:p>
        </w:tc>
        <w:tc>
          <w:tcPr>
            <w:tcW w:type="dxa" w:w="2606"/>
            <w:vAlign w:val="center"/>
          </w:tcPr>
          <w:p>
            <w:pPr>
              <w:jc w:val="right"/>
              <w:bidi w:val="1"/>
            </w:pPr>
            <w:r/>
            <w:r>
              <w:rPr>
                <w:rFonts w:ascii="Noto Naskh Arabic" w:hAnsi="Noto Naskh Arabic" w:cs="Noto Naskh Arabic"/>
                <w:b w:val="0"/>
                <w:sz w:val="19"/>
              </w:rPr>
              <w:t>[المسمى الوظيفي]</w:t>
            </w:r>
          </w:p>
        </w:tc>
      </w:tr>
      <w:tr>
        <w:tc>
          <w:tcPr>
            <w:tcW w:type="dxa" w:w="2606"/>
            <w:vAlign w:val="center"/>
            <w:shd w:fill="155B4C"/>
          </w:tcPr>
          <w:p>
            <w:pPr>
              <w:jc w:val="right"/>
              <w:bidi w:val="1"/>
            </w:pPr>
            <w:r/>
            <w:r>
              <w:rPr>
                <w:rFonts w:ascii="Noto Naskh Arabic" w:hAnsi="Noto Naskh Arabic" w:cs="Noto Naskh Arabic"/>
                <w:b/>
                <w:color w:val="FFFFFF"/>
                <w:sz w:val="19"/>
              </w:rPr>
              <w:t>دورية المراجعة</w:t>
            </w:r>
          </w:p>
        </w:tc>
        <w:tc>
          <w:tcPr>
            <w:tcW w:type="dxa" w:w="2606"/>
            <w:vAlign w:val="center"/>
          </w:tcPr>
          <w:p>
            <w:pPr>
              <w:jc w:val="right"/>
              <w:bidi w:val="1"/>
            </w:pPr>
            <w:r/>
            <w:r>
              <w:rPr>
                <w:rFonts w:ascii="Noto Naskh Arabic" w:hAnsi="Noto Naskh Arabic" w:cs="Noto Naskh Arabic"/>
                <w:b w:val="0"/>
                <w:sz w:val="19"/>
              </w:rPr>
              <w:t>سنويًا أو عند الحاجة</w:t>
            </w:r>
          </w:p>
        </w:tc>
        <w:tc>
          <w:tcPr>
            <w:tcW w:type="dxa" w:w="2606"/>
            <w:vAlign w:val="center"/>
            <w:shd w:fill="155B4C"/>
          </w:tcPr>
          <w:p>
            <w:pPr>
              <w:jc w:val="right"/>
              <w:bidi w:val="1"/>
            </w:pPr>
            <w:r/>
            <w:r>
              <w:rPr>
                <w:rFonts w:ascii="Noto Naskh Arabic" w:hAnsi="Noto Naskh Arabic" w:cs="Noto Naskh Arabic"/>
                <w:b/>
                <w:color w:val="FFFFFF"/>
                <w:sz w:val="19"/>
              </w:rPr>
              <w:t>حالة الوثيقة</w:t>
            </w:r>
          </w:p>
        </w:tc>
        <w:tc>
          <w:tcPr>
            <w:tcW w:type="dxa" w:w="2606"/>
            <w:vAlign w:val="center"/>
          </w:tcPr>
          <w:p>
            <w:pPr>
              <w:jc w:val="right"/>
              <w:bidi w:val="1"/>
            </w:pPr>
            <w:r/>
            <w:r>
              <w:rPr>
                <w:rFonts w:ascii="Noto Naskh Arabic" w:hAnsi="Noto Naskh Arabic" w:cs="Noto Naskh Arabic"/>
                <w:b w:val="0"/>
                <w:sz w:val="19"/>
              </w:rPr>
              <w:t>مسودة للمراجعة</w:t>
            </w:r>
          </w:p>
        </w:tc>
      </w:tr>
    </w:tbl>
    <w:p>
      <w:pPr>
        <w:spacing w:before="160" w:after="160" w:line="276" w:lineRule="auto"/>
        <w:jc w:val="right"/>
        <w:bidi w:val="1"/>
      </w:pPr>
      <w:r>
        <w:rPr>
          <w:rFonts w:ascii="Noto Naskh Arabic" w:hAnsi="Noto Naskh Arabic" w:cs="Noto Naskh Arabic"/>
          <w:b/>
          <w:color w:val="914114"/>
          <w:sz w:val="20"/>
        </w:rPr>
        <w:t>تنبيه: يجب مواءمة هذا النموذج مع نشاط الجمعية ولائحتها الأساسية والأنظمة واللوائح السارية، ثم اعتماده رسميًا قبل نشره أو تطبيقه.</w:t>
      </w:r>
    </w:p>
    <w:p>
      <w:pPr>
        <w:spacing w:before="160" w:after="100" w:line="276" w:lineRule="auto"/>
        <w:jc w:val="right"/>
        <w:bidi w:val="1"/>
      </w:pPr>
      <w:r>
        <w:rPr>
          <w:rFonts w:ascii="Noto Naskh Arabic" w:hAnsi="Noto Naskh Arabic" w:cs="Noto Naskh Arabic"/>
          <w:b/>
          <w:color w:val="155B4C"/>
          <w:sz w:val="32"/>
        </w:rPr>
        <w:t>بيانات الوثيقة</w:t>
      </w:r>
    </w:p>
    <w:p>
      <w:pPr>
        <w:pStyle w:val="ListBullet"/>
        <w:spacing w:after="60" w:line="269" w:lineRule="auto"/>
        <w:ind w:left="283" w:right="340"/>
        <w:jc w:val="right"/>
        <w:bidi w:val="1"/>
      </w:pPr>
      <w:r>
        <w:rPr>
          <w:rFonts w:ascii="Noto Naskh Arabic" w:hAnsi="Noto Naskh Arabic" w:cs="Noto Naskh Arabic"/>
          <w:b w:val="0"/>
          <w:sz w:val="21"/>
        </w:rPr>
        <w:t>التصنيف: السياسات.</w:t>
      </w:r>
    </w:p>
    <w:p>
      <w:pPr>
        <w:pStyle w:val="ListBullet"/>
        <w:spacing w:after="60" w:line="269" w:lineRule="auto"/>
        <w:ind w:left="283" w:right="340"/>
        <w:jc w:val="right"/>
        <w:bidi w:val="1"/>
      </w:pPr>
      <w:r>
        <w:rPr>
          <w:rFonts w:ascii="Noto Naskh Arabic" w:hAnsi="Noto Naskh Arabic" w:cs="Noto Naskh Arabic"/>
          <w:b w:val="0"/>
          <w:sz w:val="21"/>
        </w:rPr>
        <w:t>نطاق التطبيق: مجلس الإدارة، والإدارة التنفيذية، والموظفون، والمتطوعون، والمتعاقدون بحسب طبيعة الوثيقة.</w:t>
      </w:r>
    </w:p>
    <w:p>
      <w:pPr>
        <w:pStyle w:val="ListBullet"/>
        <w:spacing w:after="60" w:line="269" w:lineRule="auto"/>
        <w:ind w:left="283" w:right="340"/>
        <w:jc w:val="right"/>
        <w:bidi w:val="1"/>
      </w:pPr>
      <w:r>
        <w:rPr>
          <w:rFonts w:ascii="Noto Naskh Arabic" w:hAnsi="Noto Naskh Arabic" w:cs="Noto Naskh Arabic"/>
          <w:b w:val="0"/>
          <w:sz w:val="21"/>
        </w:rPr>
        <w:t>سجل التعديل: توثق كل مراجعة برقم إصدار وتاريخ وملخص للتغيير وقرار الاعتماد.</w:t>
      </w:r>
    </w:p>
    <w:p>
      <w:pPr>
        <w:spacing w:before="160" w:after="100" w:line="276" w:lineRule="auto"/>
        <w:jc w:val="right"/>
        <w:bidi w:val="1"/>
      </w:pPr>
      <w:r>
        <w:rPr>
          <w:rFonts w:ascii="Noto Naskh Arabic" w:hAnsi="Noto Naskh Arabic" w:cs="Noto Naskh Arabic"/>
          <w:b/>
          <w:color w:val="155B4C"/>
          <w:sz w:val="26"/>
        </w:rPr>
        <w:t>الهدف</w:t>
      </w:r>
    </w:p>
    <w:p>
      <w:pPr>
        <w:pStyle w:val="ListBullet"/>
        <w:spacing w:after="60" w:line="269" w:lineRule="auto"/>
        <w:ind w:left="283" w:right="340"/>
        <w:jc w:val="right"/>
        <w:bidi w:val="1"/>
      </w:pPr>
      <w:r>
        <w:rPr>
          <w:rFonts w:ascii="Noto Naskh Arabic" w:hAnsi="Noto Naskh Arabic" w:cs="Noto Naskh Arabic"/>
          <w:b w:val="0"/>
          <w:sz w:val="21"/>
        </w:rPr>
        <w:t>تنظيم جمع التبرعات بصورة نظامية وشفافة تحفظ كرامة المستفيد وحقوق المتبرع وتضمن استخدام الأموال في أغراضها.</w:t>
      </w:r>
    </w:p>
    <w:p>
      <w:pPr>
        <w:spacing w:before="160" w:after="100" w:line="276" w:lineRule="auto"/>
        <w:jc w:val="right"/>
        <w:bidi w:val="1"/>
      </w:pPr>
      <w:r>
        <w:rPr>
          <w:rFonts w:ascii="Noto Naskh Arabic" w:hAnsi="Noto Naskh Arabic" w:cs="Noto Naskh Arabic"/>
          <w:b/>
          <w:color w:val="155B4C"/>
          <w:sz w:val="26"/>
        </w:rPr>
        <w:t>الترخيص والقنوات</w:t>
      </w:r>
    </w:p>
    <w:p>
      <w:pPr>
        <w:pStyle w:val="ListBullet"/>
        <w:spacing w:after="60" w:line="269" w:lineRule="auto"/>
        <w:ind w:left="283" w:right="340"/>
        <w:jc w:val="right"/>
        <w:bidi w:val="1"/>
      </w:pPr>
      <w:r>
        <w:rPr>
          <w:rFonts w:ascii="Noto Naskh Arabic" w:hAnsi="Noto Naskh Arabic" w:cs="Noto Naskh Arabic"/>
          <w:b w:val="0"/>
          <w:sz w:val="21"/>
        </w:rPr>
        <w:t>لا تنفذ حملة أو إعلان أو قناة تحصيل إلا بعد استكمال الموافقات النظامية والداخلية.</w:t>
      </w:r>
    </w:p>
    <w:p>
      <w:pPr>
        <w:pStyle w:val="ListBullet"/>
        <w:spacing w:after="60" w:line="269" w:lineRule="auto"/>
        <w:ind w:left="283" w:right="340"/>
        <w:jc w:val="right"/>
        <w:bidi w:val="1"/>
      </w:pPr>
      <w:r>
        <w:rPr>
          <w:rFonts w:ascii="Noto Naskh Arabic" w:hAnsi="Noto Naskh Arabic" w:cs="Noto Naskh Arabic"/>
          <w:b w:val="0"/>
          <w:sz w:val="21"/>
        </w:rPr>
        <w:t>تستخدم الحسابات والقنوات المعتمدة باسم الجمعية، ويمنع التحصيل في حسابات شخصية.</w:t>
      </w:r>
    </w:p>
    <w:p>
      <w:pPr>
        <w:spacing w:before="160" w:after="100" w:line="276" w:lineRule="auto"/>
        <w:jc w:val="right"/>
        <w:bidi w:val="1"/>
      </w:pPr>
      <w:r>
        <w:rPr>
          <w:rFonts w:ascii="Noto Naskh Arabic" w:hAnsi="Noto Naskh Arabic" w:cs="Noto Naskh Arabic"/>
          <w:b/>
          <w:color w:val="155B4C"/>
          <w:sz w:val="26"/>
        </w:rPr>
        <w:t>حقوق المتبرع</w:t>
      </w:r>
    </w:p>
    <w:p>
      <w:pPr>
        <w:pStyle w:val="ListBullet"/>
        <w:spacing w:after="60" w:line="269" w:lineRule="auto"/>
        <w:ind w:left="283" w:right="340"/>
        <w:jc w:val="right"/>
        <w:bidi w:val="1"/>
      </w:pPr>
      <w:r>
        <w:rPr>
          <w:rFonts w:ascii="Noto Naskh Arabic" w:hAnsi="Noto Naskh Arabic" w:cs="Noto Naskh Arabic"/>
          <w:b w:val="0"/>
          <w:sz w:val="21"/>
        </w:rPr>
        <w:t>وضوح الغرض والمشروع والتكاليف والقيود وسياسة الخصوصية والاسترداد.</w:t>
      </w:r>
    </w:p>
    <w:p>
      <w:pPr>
        <w:pStyle w:val="ListBullet"/>
        <w:spacing w:after="60" w:line="269" w:lineRule="auto"/>
        <w:ind w:left="283" w:right="340"/>
        <w:jc w:val="right"/>
        <w:bidi w:val="1"/>
      </w:pPr>
      <w:r>
        <w:rPr>
          <w:rFonts w:ascii="Noto Naskh Arabic" w:hAnsi="Noto Naskh Arabic" w:cs="Noto Naskh Arabic"/>
          <w:b w:val="0"/>
          <w:sz w:val="21"/>
        </w:rPr>
        <w:t>إصدار إثبات تبرع وتمكين المتبرع من الاستفسار والشكاوى.</w:t>
      </w:r>
    </w:p>
    <w:p>
      <w:pPr>
        <w:pStyle w:val="ListBullet"/>
        <w:spacing w:after="60" w:line="269" w:lineRule="auto"/>
        <w:ind w:left="283" w:right="340"/>
        <w:jc w:val="right"/>
        <w:bidi w:val="1"/>
      </w:pPr>
      <w:r>
        <w:rPr>
          <w:rFonts w:ascii="Noto Naskh Arabic" w:hAnsi="Noto Naskh Arabic" w:cs="Noto Naskh Arabic"/>
          <w:b w:val="0"/>
          <w:sz w:val="21"/>
        </w:rPr>
        <w:t>عدم استخدام رسائل أو صور تمس كرامة المستفيدين أو تضلل الجمهور.</w:t>
      </w:r>
    </w:p>
    <w:p>
      <w:pPr>
        <w:spacing w:before="160" w:after="100" w:line="276" w:lineRule="auto"/>
        <w:jc w:val="right"/>
        <w:bidi w:val="1"/>
      </w:pPr>
      <w:r>
        <w:rPr>
          <w:rFonts w:ascii="Noto Naskh Arabic" w:hAnsi="Noto Naskh Arabic" w:cs="Noto Naskh Arabic"/>
          <w:b/>
          <w:color w:val="155B4C"/>
          <w:sz w:val="26"/>
        </w:rPr>
        <w:t>إدارة الأموال</w:t>
      </w:r>
    </w:p>
    <w:p>
      <w:pPr>
        <w:pStyle w:val="ListBullet"/>
        <w:spacing w:after="60" w:line="269" w:lineRule="auto"/>
        <w:ind w:left="283" w:right="340"/>
        <w:jc w:val="right"/>
        <w:bidi w:val="1"/>
      </w:pPr>
      <w:r>
        <w:rPr>
          <w:rFonts w:ascii="Noto Naskh Arabic" w:hAnsi="Noto Naskh Arabic" w:cs="Noto Naskh Arabic"/>
          <w:b w:val="0"/>
          <w:sz w:val="21"/>
        </w:rPr>
        <w:t>ترمز التبرعات المقيدة وتتبع حتى الصرف، وتوثق التحويلات بين المشروعات وفق سياسة معلنة وموافقة معتبرة.</w:t>
      </w:r>
    </w:p>
    <w:p>
      <w:pPr>
        <w:spacing w:before="160" w:after="100" w:line="276" w:lineRule="auto"/>
        <w:jc w:val="right"/>
        <w:bidi w:val="1"/>
      </w:pPr>
      <w:r>
        <w:rPr>
          <w:rFonts w:ascii="Noto Naskh Arabic" w:hAnsi="Noto Naskh Arabic" w:cs="Noto Naskh Arabic"/>
          <w:b/>
          <w:color w:val="155B4C"/>
          <w:sz w:val="26"/>
        </w:rPr>
        <w:t>العاملون وجامعو التبرعات</w:t>
      </w:r>
    </w:p>
    <w:p>
      <w:pPr>
        <w:pStyle w:val="ListBullet"/>
        <w:spacing w:after="60" w:line="269" w:lineRule="auto"/>
        <w:ind w:left="283" w:right="340"/>
        <w:jc w:val="right"/>
        <w:bidi w:val="1"/>
      </w:pPr>
      <w:r>
        <w:rPr>
          <w:rFonts w:ascii="Noto Naskh Arabic" w:hAnsi="Noto Naskh Arabic" w:cs="Noto Naskh Arabic"/>
          <w:b w:val="0"/>
          <w:sz w:val="21"/>
        </w:rPr>
        <w:t>يلتزمون بالهوية المعتمدة وعدم الضغط أو تقديم معلومات غير صحيحة أو قبول منافع شخصية.</w:t>
      </w:r>
    </w:p>
    <w:p>
      <w:pPr>
        <w:spacing w:before="160" w:after="100" w:line="276" w:lineRule="auto"/>
        <w:jc w:val="right"/>
        <w:bidi w:val="1"/>
      </w:pPr>
      <w:r>
        <w:rPr>
          <w:rFonts w:ascii="Noto Naskh Arabic" w:hAnsi="Noto Naskh Arabic" w:cs="Noto Naskh Arabic"/>
          <w:b/>
          <w:color w:val="155B4C"/>
          <w:sz w:val="26"/>
        </w:rPr>
        <w:t>التقارير والإفصاح</w:t>
      </w:r>
    </w:p>
    <w:p>
      <w:pPr>
        <w:pStyle w:val="ListBullet"/>
        <w:spacing w:after="60" w:line="269" w:lineRule="auto"/>
        <w:ind w:left="283" w:right="340"/>
        <w:jc w:val="right"/>
        <w:bidi w:val="1"/>
      </w:pPr>
      <w:r>
        <w:rPr>
          <w:rFonts w:ascii="Noto Naskh Arabic" w:hAnsi="Noto Naskh Arabic" w:cs="Noto Naskh Arabic"/>
          <w:b w:val="0"/>
          <w:sz w:val="21"/>
        </w:rPr>
        <w:t>تنشر تقارير ملائمة عن الحصيلة والاستخدام والنتائج، وتحفظ المستندات للمراجعة.</w:t>
      </w:r>
    </w:p>
    <w:p>
      <w:pPr>
        <w:spacing w:before="160" w:after="100" w:line="276" w:lineRule="auto"/>
        <w:jc w:val="right"/>
        <w:bidi w:val="1"/>
      </w:pPr>
      <w:r>
        <w:rPr>
          <w:rFonts w:ascii="Noto Naskh Arabic" w:hAnsi="Noto Naskh Arabic" w:cs="Noto Naskh Arabic"/>
          <w:b/>
          <w:color w:val="155B4C"/>
          <w:sz w:val="26"/>
        </w:rPr>
        <w:t>المراجعة والاعتماد</w:t>
      </w:r>
    </w:p>
    <w:p>
      <w:pPr>
        <w:pStyle w:val="ListBullet"/>
        <w:spacing w:after="60" w:line="269" w:lineRule="auto"/>
        <w:ind w:left="283" w:right="340"/>
        <w:jc w:val="right"/>
        <w:bidi w:val="1"/>
      </w:pPr>
      <w:r>
        <w:rPr>
          <w:rFonts w:ascii="Noto Naskh Arabic" w:hAnsi="Noto Naskh Arabic" w:cs="Noto Naskh Arabic"/>
          <w:b w:val="0"/>
          <w:sz w:val="21"/>
        </w:rPr>
        <w:t>تراجع الوثيقة دوريًا وعند صدور تحديث نظامي أو حدوث تغيير جوهري في أعمال الجمعية.</w:t>
      </w:r>
    </w:p>
    <w:p>
      <w:pPr>
        <w:pStyle w:val="ListBullet"/>
        <w:spacing w:after="60" w:line="269" w:lineRule="auto"/>
        <w:ind w:left="283" w:right="340"/>
        <w:jc w:val="right"/>
        <w:bidi w:val="1"/>
      </w:pPr>
      <w:r>
        <w:rPr>
          <w:rFonts w:ascii="Noto Naskh Arabic" w:hAnsi="Noto Naskh Arabic" w:cs="Noto Naskh Arabic"/>
          <w:b w:val="0"/>
          <w:sz w:val="21"/>
        </w:rPr>
        <w:t>لا تصبح الوثيقة نافذة إلا بعد اعتمادها وفق الصلاحيات المعتمدة في الجمعية.</w:t>
      </w:r>
    </w:p>
    <w:p>
      <w:pPr>
        <w:pStyle w:val="ListBullet"/>
        <w:spacing w:after="60" w:line="269" w:lineRule="auto"/>
        <w:ind w:left="283" w:right="340"/>
        <w:jc w:val="right"/>
        <w:bidi w:val="1"/>
      </w:pPr>
      <w:r>
        <w:rPr>
          <w:rFonts w:ascii="Noto Naskh Arabic" w:hAnsi="Noto Naskh Arabic" w:cs="Noto Naskh Arabic"/>
          <w:b w:val="0"/>
          <w:sz w:val="21"/>
        </w:rPr>
        <w:t>تحفظ النسخة المعتمدة وسجل التعديلات في مستودع الوثائق الرسمي، وتنشر النسخة المخصصة للإفصاح عند الحاجة.</w:t>
      </w:r>
    </w:p>
    <w:tbl>
      <w:tblPr>
        <w:tblStyle w:val="TableGrid"/>
        <w:tblW w:type="auto" w:w="0"/>
        <w:jc w:val="center"/>
        <w:tblLook w:firstColumn="1" w:firstRow="1" w:lastColumn="0" w:lastRow="0" w:noHBand="0" w:noVBand="1" w:val="04A0"/>
      </w:tblPr>
      <w:tblGrid>
        <w:gridCol w:w="3475"/>
        <w:gridCol w:w="3475"/>
        <w:gridCol w:w="3475"/>
      </w:tblGrid>
      <w:tr>
        <w:tc>
          <w:tcPr>
            <w:tcW w:type="dxa" w:w="3475"/>
            <w:shd w:fill="155B4C"/>
          </w:tcPr>
          <w:p>
            <w:pPr>
              <w:jc w:val="center"/>
              <w:bidi w:val="1"/>
            </w:pPr>
            <w:r/>
            <w:r>
              <w:rPr>
                <w:rFonts w:ascii="Noto Naskh Arabic" w:hAnsi="Noto Naskh Arabic" w:cs="Noto Naskh Arabic"/>
                <w:b/>
                <w:color w:val="FFFFFF"/>
                <w:sz w:val="19"/>
              </w:rPr>
              <w:t>الإعداد</w:t>
            </w:r>
          </w:p>
        </w:tc>
        <w:tc>
          <w:tcPr>
            <w:tcW w:type="dxa" w:w="3475"/>
            <w:shd w:fill="155B4C"/>
          </w:tcPr>
          <w:p>
            <w:pPr>
              <w:jc w:val="center"/>
              <w:bidi w:val="1"/>
            </w:pPr>
            <w:r/>
            <w:r>
              <w:rPr>
                <w:rFonts w:ascii="Noto Naskh Arabic" w:hAnsi="Noto Naskh Arabic" w:cs="Noto Naskh Arabic"/>
                <w:b/>
                <w:color w:val="FFFFFF"/>
                <w:sz w:val="19"/>
              </w:rPr>
              <w:t>المراجعة</w:t>
            </w:r>
          </w:p>
        </w:tc>
        <w:tc>
          <w:tcPr>
            <w:tcW w:type="dxa" w:w="3475"/>
            <w:shd w:fill="155B4C"/>
          </w:tcPr>
          <w:p>
            <w:pPr>
              <w:jc w:val="center"/>
              <w:bidi w:val="1"/>
            </w:pPr>
            <w:r/>
            <w:r>
              <w:rPr>
                <w:rFonts w:ascii="Noto Naskh Arabic" w:hAnsi="Noto Naskh Arabic" w:cs="Noto Naskh Arabic"/>
                <w:b/>
                <w:color w:val="FFFFFF"/>
                <w:sz w:val="19"/>
              </w:rPr>
              <w:t>الاعتماد</w:t>
            </w:r>
          </w:p>
        </w:tc>
      </w:tr>
      <w:tr>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[الاسم والمسمى]</w:t>
            </w:r>
          </w:p>
        </w:tc>
        <w:tc>
          <w:tcPr>
            <w:tcW w:type="dxa" w:w="3475"/>
          </w:tcPr>
          <w:p>
            <w:pPr>
              <w:jc w:val="center"/>
              <w:bidi w:val="1"/>
            </w:pPr>
            <w:r/>
            <w:r>
              <w:rPr>
                <w:rFonts w:ascii="Noto Naskh Arabic" w:hAnsi="Noto Naskh Arabic" w:cs="Noto Naskh Arabic"/>
                <w:b w:val="0"/>
                <w:sz w:val="19"/>
              </w:rPr>
              <w:t>[مجلس الإدارة/صاحب الصلاحية]</w:t>
            </w:r>
          </w:p>
        </w:tc>
      </w:tr>
      <w:tr>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[التوقيع والتاريخ]</w:t>
            </w:r>
          </w:p>
        </w:tc>
        <w:tc>
          <w:tcPr>
            <w:tcW w:type="dxa" w:w="3475"/>
          </w:tcPr>
          <w:p>
            <w:pPr>
              <w:jc w:val="center"/>
              <w:bidi w:val="1"/>
            </w:pPr>
            <w:r/>
            <w:r>
              <w:rPr>
                <w:rFonts w:ascii="Noto Naskh Arabic" w:hAnsi="Noto Naskh Arabic" w:cs="Noto Naskh Arabic"/>
                <w:b w:val="0"/>
                <w:sz w:val="19"/>
              </w:rPr>
              <w:t>[رقم القرار والتاريخ]</w:t>
            </w:r>
          </w:p>
        </w:tc>
      </w:tr>
    </w:tbl>
    <w:p>
      <w:pPr>
        <w:spacing w:before="200" w:after="40" w:line="276" w:lineRule="auto"/>
        <w:jc w:val="right"/>
        <w:bidi w:val="1"/>
      </w:pPr>
      <w:r>
        <w:rPr>
          <w:rFonts w:ascii="Noto Naskh Arabic" w:hAnsi="Noto Naskh Arabic" w:cs="Noto Naskh Arabic"/>
          <w:b w:val="0"/>
          <w:color w:val="646464"/>
          <w:sz w:val="17"/>
        </w:rPr>
        <w:t>مصادر الاسترشاد: قواعد وأدلة المركز الوطني لتنمية القطاع غير الربحي، والموضوعات والبنى المتكررة في وثائق الحوكمة المنشورة علنًا في مواقع جمعيات أهلية سعودية. أُعيدت صياغة المحتوى كنموذج عام ولم يُنسخ كوثيقة خاصة بأي جمعية.</w:t>
      </w:r>
    </w:p>
    <w:sectPr w:rsidR="00FC693F" w:rsidRPr="0006063C" w:rsidSect="00034616">
      <w:headerReference w:type="default" r:id="rId9"/>
      <w:footerReference w:type="default" r:id="rId10"/>
      <w:pgSz w:w="12240" w:h="15840"/>
      <w:pgMar w:top="907" w:right="907" w:bottom="850"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val="1"/>
    </w:pPr>
    <w:r>
      <w:rPr>
        <w:rFonts w:ascii="Noto Naskh Arabic" w:hAnsi="Noto Naskh Arabic" w:cs="Noto Naskh Arabic"/>
        <w:b w:val="0"/>
        <w:color w:val="646464"/>
        <w:sz w:val="16"/>
      </w:rPr>
      <w:t>نموذج استرشادي قابل للتعديل - لا يعد معتمدًا إلا بعد مراجعته واعتماده من الجهة المختصة في الجمعية</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bidi w:val="1"/>
    </w:pPr>
    <w:r>
      <w:rPr>
        <w:rFonts w:ascii="Noto Kufi Arabic" w:hAnsi="Noto Kufi Arabic" w:cs="Noto Kufi Arabic"/>
        <w:b/>
        <w:color w:val="46625B"/>
        <w:sz w:val="18"/>
      </w:rPr>
      <w:t>[شعار الجمعية]   |   [اسم الجمعية]</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Noto Naskh Arabic" w:hAnsi="Noto Naskh Arabic" w:cs="Noto Naskh Arabic"/>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Noto Naskh Arabic" w:hAnsi="Noto Naskh Arabic" w:cs="Noto Naskh Arabic"/>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Noto Naskh Arabic" w:hAnsi="Noto Naskh Arabic" w:cs="Noto Naskh Arabic"/>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