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الاستثمار</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تنمية موارد الجمعية والمحافظة على رأس المال والسيولة ضمن مستوى مخاطر مقبول ومتوافق مع الأنظمة.</w:t>
      </w:r>
    </w:p>
    <w:p>
      <w:pPr>
        <w:spacing w:before="160" w:after="100" w:line="276" w:lineRule="auto"/>
        <w:jc w:val="right"/>
        <w:bidi w:val="1"/>
      </w:pPr>
      <w:r>
        <w:rPr>
          <w:rFonts w:ascii="Noto Naskh Arabic" w:hAnsi="Noto Naskh Arabic" w:cs="Noto Naskh Arabic"/>
          <w:b/>
          <w:color w:val="155B4C"/>
          <w:sz w:val="26"/>
        </w:rPr>
        <w:t>الحوكمة</w:t>
      </w:r>
    </w:p>
    <w:p>
      <w:pPr>
        <w:pStyle w:val="ListBullet"/>
        <w:spacing w:after="60" w:line="269" w:lineRule="auto"/>
        <w:ind w:left="283" w:right="340"/>
        <w:jc w:val="right"/>
        <w:bidi w:val="1"/>
      </w:pPr>
      <w:r>
        <w:rPr>
          <w:rFonts w:ascii="Noto Naskh Arabic" w:hAnsi="Noto Naskh Arabic" w:cs="Noto Naskh Arabic"/>
          <w:b w:val="0"/>
          <w:sz w:val="21"/>
        </w:rPr>
        <w:t>يعتمد مجلس الإدارة الأهداف والحدود والأدوات، وتنفذ الإدارة ضمن تفويض مكتوب، وتراجع النتائج بصورة مستقلة.</w:t>
      </w:r>
    </w:p>
    <w:p>
      <w:pPr>
        <w:spacing w:before="160" w:after="100" w:line="276" w:lineRule="auto"/>
        <w:jc w:val="right"/>
        <w:bidi w:val="1"/>
      </w:pPr>
      <w:r>
        <w:rPr>
          <w:rFonts w:ascii="Noto Naskh Arabic" w:hAnsi="Noto Naskh Arabic" w:cs="Noto Naskh Arabic"/>
          <w:b/>
          <w:color w:val="155B4C"/>
          <w:sz w:val="26"/>
        </w:rPr>
        <w:t>مبادئ الاستثمار</w:t>
      </w:r>
    </w:p>
    <w:p>
      <w:pPr>
        <w:pStyle w:val="ListBullet"/>
        <w:spacing w:after="60" w:line="269" w:lineRule="auto"/>
        <w:ind w:left="283" w:right="340"/>
        <w:jc w:val="right"/>
        <w:bidi w:val="1"/>
      </w:pPr>
      <w:r>
        <w:rPr>
          <w:rFonts w:ascii="Noto Naskh Arabic" w:hAnsi="Noto Naskh Arabic" w:cs="Noto Naskh Arabic"/>
          <w:b w:val="0"/>
          <w:sz w:val="21"/>
        </w:rPr>
        <w:t>الأمان والسيولة والتنويع والوضوح وعدم المضاربة أو الاستثمار في أنشطة مخالفة للأنظمة أو قيم الجمعية.</w:t>
      </w:r>
    </w:p>
    <w:p>
      <w:pPr>
        <w:spacing w:before="160" w:after="100" w:line="276" w:lineRule="auto"/>
        <w:jc w:val="right"/>
        <w:bidi w:val="1"/>
      </w:pPr>
      <w:r>
        <w:rPr>
          <w:rFonts w:ascii="Noto Naskh Arabic" w:hAnsi="Noto Naskh Arabic" w:cs="Noto Naskh Arabic"/>
          <w:b/>
          <w:color w:val="155B4C"/>
          <w:sz w:val="26"/>
        </w:rPr>
        <w:t>تخصيص الأصول</w:t>
      </w:r>
    </w:p>
    <w:p>
      <w:pPr>
        <w:pStyle w:val="ListBullet"/>
        <w:spacing w:after="60" w:line="269" w:lineRule="auto"/>
        <w:ind w:left="283" w:right="340"/>
        <w:jc w:val="right"/>
        <w:bidi w:val="1"/>
      </w:pPr>
      <w:r>
        <w:rPr>
          <w:rFonts w:ascii="Noto Naskh Arabic" w:hAnsi="Noto Naskh Arabic" w:cs="Noto Naskh Arabic"/>
          <w:b w:val="0"/>
          <w:sz w:val="21"/>
        </w:rPr>
        <w:t>تحدد نسب استرشادية للنقد والودائع والأدوات منخفضة المخاطر والاستثمارات الأخرى المسموح بها.</w:t>
      </w:r>
    </w:p>
    <w:p>
      <w:pPr>
        <w:spacing w:before="160" w:after="100" w:line="276" w:lineRule="auto"/>
        <w:jc w:val="right"/>
        <w:bidi w:val="1"/>
      </w:pPr>
      <w:r>
        <w:rPr>
          <w:rFonts w:ascii="Noto Naskh Arabic" w:hAnsi="Noto Naskh Arabic" w:cs="Noto Naskh Arabic"/>
          <w:b/>
          <w:color w:val="155B4C"/>
          <w:sz w:val="26"/>
        </w:rPr>
        <w:t>العناية والاختيار</w:t>
      </w:r>
    </w:p>
    <w:p>
      <w:pPr>
        <w:pStyle w:val="ListBullet"/>
        <w:spacing w:after="60" w:line="269" w:lineRule="auto"/>
        <w:ind w:left="283" w:right="340"/>
        <w:jc w:val="right"/>
        <w:bidi w:val="1"/>
      </w:pPr>
      <w:r>
        <w:rPr>
          <w:rFonts w:ascii="Noto Naskh Arabic" w:hAnsi="Noto Naskh Arabic" w:cs="Noto Naskh Arabic"/>
          <w:b w:val="0"/>
          <w:sz w:val="21"/>
        </w:rPr>
        <w:t>تقييم الجهة والأداة والرسوم والسيولة والمخاطر وتعارض المصالح قبل القرار.</w:t>
      </w:r>
    </w:p>
    <w:p>
      <w:pPr>
        <w:spacing w:before="160" w:after="100" w:line="276" w:lineRule="auto"/>
        <w:jc w:val="right"/>
        <w:bidi w:val="1"/>
      </w:pPr>
      <w:r>
        <w:rPr>
          <w:rFonts w:ascii="Noto Naskh Arabic" w:hAnsi="Noto Naskh Arabic" w:cs="Noto Naskh Arabic"/>
          <w:b/>
          <w:color w:val="155B4C"/>
          <w:sz w:val="26"/>
        </w:rPr>
        <w:t>المتابعة</w:t>
      </w:r>
    </w:p>
    <w:p>
      <w:pPr>
        <w:pStyle w:val="ListBullet"/>
        <w:spacing w:after="60" w:line="269" w:lineRule="auto"/>
        <w:ind w:left="283" w:right="340"/>
        <w:jc w:val="right"/>
        <w:bidi w:val="1"/>
      </w:pPr>
      <w:r>
        <w:rPr>
          <w:rFonts w:ascii="Noto Naskh Arabic" w:hAnsi="Noto Naskh Arabic" w:cs="Noto Naskh Arabic"/>
          <w:b w:val="0"/>
          <w:sz w:val="21"/>
        </w:rPr>
        <w:t>تقارير دورية عن العائد والمخاطر والالتزام بالحدود، وإعادة موازنة عند الانحراف.</w:t>
      </w:r>
    </w:p>
    <w:p>
      <w:pPr>
        <w:spacing w:before="160" w:after="100" w:line="276" w:lineRule="auto"/>
        <w:jc w:val="right"/>
        <w:bidi w:val="1"/>
      </w:pPr>
      <w:r>
        <w:rPr>
          <w:rFonts w:ascii="Noto Naskh Arabic" w:hAnsi="Noto Naskh Arabic" w:cs="Noto Naskh Arabic"/>
          <w:b/>
          <w:color w:val="155B4C"/>
          <w:sz w:val="26"/>
        </w:rPr>
        <w:t>الخسائر والاستثناءات</w:t>
      </w:r>
    </w:p>
    <w:p>
      <w:pPr>
        <w:pStyle w:val="ListBullet"/>
        <w:spacing w:after="60" w:line="269" w:lineRule="auto"/>
        <w:ind w:left="283" w:right="340"/>
        <w:jc w:val="right"/>
        <w:bidi w:val="1"/>
      </w:pPr>
      <w:r>
        <w:rPr>
          <w:rFonts w:ascii="Noto Naskh Arabic" w:hAnsi="Noto Naskh Arabic" w:cs="Noto Naskh Arabic"/>
          <w:b w:val="0"/>
          <w:sz w:val="21"/>
        </w:rPr>
        <w:t>توثق أسباب الخسائر والإجراءات، ولا يعتمد أي استثناء إلا من صاحب الصلاحية.</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