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استرداد التبرعات</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تحديد الحالات والإجراءات والمدة والمسؤوليات المتعلقة بطلب استرداد التبرع.</w:t>
      </w:r>
    </w:p>
    <w:p>
      <w:pPr>
        <w:spacing w:before="160" w:after="100" w:line="276" w:lineRule="auto"/>
        <w:jc w:val="right"/>
        <w:bidi w:val="1"/>
      </w:pPr>
      <w:r>
        <w:rPr>
          <w:rFonts w:ascii="Noto Naskh Arabic" w:hAnsi="Noto Naskh Arabic" w:cs="Noto Naskh Arabic"/>
          <w:b/>
          <w:color w:val="155B4C"/>
          <w:sz w:val="26"/>
        </w:rPr>
        <w:t>الحالات المقبولة مبدئيًا</w:t>
      </w:r>
    </w:p>
    <w:p>
      <w:pPr>
        <w:pStyle w:val="ListBullet"/>
        <w:spacing w:after="60" w:line="269" w:lineRule="auto"/>
        <w:ind w:left="283" w:right="340"/>
        <w:jc w:val="right"/>
        <w:bidi w:val="1"/>
      </w:pPr>
      <w:r>
        <w:rPr>
          <w:rFonts w:ascii="Noto Naskh Arabic" w:hAnsi="Noto Naskh Arabic" w:cs="Noto Naskh Arabic"/>
          <w:b w:val="0"/>
          <w:sz w:val="21"/>
        </w:rPr>
        <w:t>تكرار العملية بالخطأ، أو خصم مبلغ مختلف، أو خطأ تقني مثبت، أو حالة يجيزها النظام وسياسة الحملة.</w:t>
      </w:r>
    </w:p>
    <w:p>
      <w:pPr>
        <w:spacing w:before="160" w:after="100" w:line="276" w:lineRule="auto"/>
        <w:jc w:val="right"/>
        <w:bidi w:val="1"/>
      </w:pPr>
      <w:r>
        <w:rPr>
          <w:rFonts w:ascii="Noto Naskh Arabic" w:hAnsi="Noto Naskh Arabic" w:cs="Noto Naskh Arabic"/>
          <w:b/>
          <w:color w:val="155B4C"/>
          <w:sz w:val="26"/>
        </w:rPr>
        <w:t>الحالات المستثناة</w:t>
      </w:r>
    </w:p>
    <w:p>
      <w:pPr>
        <w:pStyle w:val="ListBullet"/>
        <w:spacing w:after="60" w:line="269" w:lineRule="auto"/>
        <w:ind w:left="283" w:right="340"/>
        <w:jc w:val="right"/>
        <w:bidi w:val="1"/>
      </w:pPr>
      <w:r>
        <w:rPr>
          <w:rFonts w:ascii="Noto Naskh Arabic" w:hAnsi="Noto Naskh Arabic" w:cs="Noto Naskh Arabic"/>
          <w:b w:val="0"/>
          <w:sz w:val="21"/>
        </w:rPr>
        <w:t>التبرعات التي تم صرفها أو الالتزام بها وفق الغرض المعلن، أو الطلبات غير المثبتة، ما لم يلزم نظامًا خلاف ذلك.</w:t>
      </w:r>
    </w:p>
    <w:p>
      <w:pPr>
        <w:spacing w:before="160" w:after="100" w:line="276" w:lineRule="auto"/>
        <w:jc w:val="right"/>
        <w:bidi w:val="1"/>
      </w:pPr>
      <w:r>
        <w:rPr>
          <w:rFonts w:ascii="Noto Naskh Arabic" w:hAnsi="Noto Naskh Arabic" w:cs="Noto Naskh Arabic"/>
          <w:b/>
          <w:color w:val="155B4C"/>
          <w:sz w:val="26"/>
        </w:rPr>
        <w:t>الإجراءات</w:t>
      </w:r>
    </w:p>
    <w:p>
      <w:pPr>
        <w:pStyle w:val="ListBullet"/>
        <w:spacing w:after="60" w:line="269" w:lineRule="auto"/>
        <w:ind w:left="283" w:right="340"/>
        <w:jc w:val="right"/>
        <w:bidi w:val="1"/>
      </w:pPr>
      <w:r>
        <w:rPr>
          <w:rFonts w:ascii="Noto Naskh Arabic" w:hAnsi="Noto Naskh Arabic" w:cs="Noto Naskh Arabic"/>
          <w:b w:val="0"/>
          <w:sz w:val="21"/>
        </w:rPr>
        <w:t>استقبال الطلب عبر قناة موثقة والتحقق من الهوية ورقم العملية وسبب الطلب.</w:t>
      </w:r>
    </w:p>
    <w:p>
      <w:pPr>
        <w:pStyle w:val="ListBullet"/>
        <w:spacing w:after="60" w:line="269" w:lineRule="auto"/>
        <w:ind w:left="283" w:right="340"/>
        <w:jc w:val="right"/>
        <w:bidi w:val="1"/>
      </w:pPr>
      <w:r>
        <w:rPr>
          <w:rFonts w:ascii="Noto Naskh Arabic" w:hAnsi="Noto Naskh Arabic" w:cs="Noto Naskh Arabic"/>
          <w:b w:val="0"/>
          <w:sz w:val="21"/>
        </w:rPr>
        <w:t>مراجعة حالة المبلغ والمشروع وموافقة صاحب الصلاحية.</w:t>
      </w:r>
    </w:p>
    <w:p>
      <w:pPr>
        <w:pStyle w:val="ListBullet"/>
        <w:spacing w:after="60" w:line="269" w:lineRule="auto"/>
        <w:ind w:left="283" w:right="340"/>
        <w:jc w:val="right"/>
        <w:bidi w:val="1"/>
      </w:pPr>
      <w:r>
        <w:rPr>
          <w:rFonts w:ascii="Noto Naskh Arabic" w:hAnsi="Noto Naskh Arabic" w:cs="Noto Naskh Arabic"/>
          <w:b w:val="0"/>
          <w:sz w:val="21"/>
        </w:rPr>
        <w:t>إعادة المبلغ إلى وسيلة الدفع الأصلية متى أمكن وتوثيق القيد المالي.</w:t>
      </w:r>
    </w:p>
    <w:p>
      <w:pPr>
        <w:spacing w:before="160" w:after="100" w:line="276" w:lineRule="auto"/>
        <w:jc w:val="right"/>
        <w:bidi w:val="1"/>
      </w:pPr>
      <w:r>
        <w:rPr>
          <w:rFonts w:ascii="Noto Naskh Arabic" w:hAnsi="Noto Naskh Arabic" w:cs="Noto Naskh Arabic"/>
          <w:b/>
          <w:color w:val="155B4C"/>
          <w:sz w:val="26"/>
        </w:rPr>
        <w:t>المدة والتواصل</w:t>
      </w:r>
    </w:p>
    <w:p>
      <w:pPr>
        <w:pStyle w:val="ListBullet"/>
        <w:spacing w:after="60" w:line="269" w:lineRule="auto"/>
        <w:ind w:left="283" w:right="340"/>
        <w:jc w:val="right"/>
        <w:bidi w:val="1"/>
      </w:pPr>
      <w:r>
        <w:rPr>
          <w:rFonts w:ascii="Noto Naskh Arabic" w:hAnsi="Noto Naskh Arabic" w:cs="Noto Naskh Arabic"/>
          <w:b w:val="0"/>
          <w:sz w:val="21"/>
        </w:rPr>
        <w:t>يحدد زمن مستهدف للرد والتنفيذ، ويبلغ المتبرع بالنتيجة وأسباب الرفض ووسيلة الاعتراض.</w:t>
      </w:r>
    </w:p>
    <w:p>
      <w:pPr>
        <w:spacing w:before="160" w:after="100" w:line="276" w:lineRule="auto"/>
        <w:jc w:val="right"/>
        <w:bidi w:val="1"/>
      </w:pPr>
      <w:r>
        <w:rPr>
          <w:rFonts w:ascii="Noto Naskh Arabic" w:hAnsi="Noto Naskh Arabic" w:cs="Noto Naskh Arabic"/>
          <w:b/>
          <w:color w:val="155B4C"/>
          <w:sz w:val="26"/>
        </w:rPr>
        <w:t>مكافحة إساءة الاستخدام</w:t>
      </w:r>
    </w:p>
    <w:p>
      <w:pPr>
        <w:pStyle w:val="ListBullet"/>
        <w:spacing w:after="60" w:line="269" w:lineRule="auto"/>
        <w:ind w:left="283" w:right="340"/>
        <w:jc w:val="right"/>
        <w:bidi w:val="1"/>
      </w:pPr>
      <w:r>
        <w:rPr>
          <w:rFonts w:ascii="Noto Naskh Arabic" w:hAnsi="Noto Naskh Arabic" w:cs="Noto Naskh Arabic"/>
          <w:b w:val="0"/>
          <w:sz w:val="21"/>
        </w:rPr>
        <w:t>ترفع الأنماط غير المعتادة لمسؤول الامتثال قبل تنفيذ الاسترداد دون تنبيه الطرف عند الاشتباه.</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