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80"/>
        <w:jc w:val="center"/>
        <w:bidi w:val="1"/>
      </w:pPr>
      <w:r>
        <w:rPr>
          <w:rFonts w:ascii="Noto Kufi Arabic" w:hAnsi="Noto Kufi Arabic" w:cs="Noto Kufi Arabic"/>
          <w:b/>
          <w:color w:val="0F5C4D"/>
          <w:sz w:val="44"/>
        </w:rPr>
        <w:t>سياسة الإبلاغ عن المخالفات وحماية مقدمي البلاغات</w:t>
      </w:r>
    </w:p>
    <w:p>
      <w:pPr>
        <w:jc w:val="center"/>
        <w:bidi w:val="1"/>
      </w:pPr>
      <w:r>
        <w:rPr>
          <w:rFonts w:ascii="Noto Sans Arabic" w:hAnsi="Noto Sans Arabic" w:cs="Noto Sans Arabic"/>
          <w:b/>
          <w:color w:val="B77E16"/>
          <w:sz w:val="22"/>
        </w:rPr>
        <w:t>نموذج استرشادي قابل للتعديل</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2606"/>
            <w:vAlign w:val="center"/>
            <w:shd w:fill="155B4C"/>
          </w:tcPr>
          <w:p>
            <w:pPr>
              <w:jc w:val="right"/>
              <w:bidi w:val="1"/>
            </w:pPr>
            <w:r/>
            <w:r>
              <w:rPr>
                <w:rFonts w:ascii="Noto Naskh Arabic" w:hAnsi="Noto Naskh Arabic" w:cs="Noto Naskh Arabic"/>
                <w:b/>
                <w:color w:val="FFFFFF"/>
                <w:sz w:val="19"/>
              </w:rPr>
              <w:t>اسم الجمعية</w:t>
            </w:r>
          </w:p>
        </w:tc>
        <w:tc>
          <w:tcPr>
            <w:tcW w:type="dxa" w:w="2606"/>
            <w:vAlign w:val="center"/>
          </w:tcPr>
          <w:p>
            <w:pPr>
              <w:jc w:val="right"/>
              <w:bidi w:val="1"/>
            </w:pPr>
            <w:r/>
            <w:r>
              <w:rPr>
                <w:rFonts w:ascii="Noto Naskh Arabic" w:hAnsi="Noto Naskh Arabic" w:cs="Noto Naskh Arabic"/>
                <w:b w:val="0"/>
                <w:sz w:val="19"/>
              </w:rPr>
              <w:t>[اسم الجمعية]</w:t>
            </w:r>
          </w:p>
        </w:tc>
        <w:tc>
          <w:tcPr>
            <w:tcW w:type="dxa" w:w="2606"/>
            <w:vAlign w:val="center"/>
            <w:shd w:fill="155B4C"/>
          </w:tcPr>
          <w:p>
            <w:pPr>
              <w:jc w:val="right"/>
              <w:bidi w:val="1"/>
            </w:pPr>
            <w:r/>
            <w:r>
              <w:rPr>
                <w:rFonts w:ascii="Noto Naskh Arabic" w:hAnsi="Noto Naskh Arabic" w:cs="Noto Naskh Arabic"/>
                <w:b/>
                <w:color w:val="FFFFFF"/>
                <w:sz w:val="19"/>
              </w:rPr>
              <w:t>رمز الوثيقة</w:t>
            </w:r>
          </w:p>
        </w:tc>
        <w:tc>
          <w:tcPr>
            <w:tcW w:type="dxa" w:w="2606"/>
            <w:vAlign w:val="center"/>
          </w:tcPr>
          <w:p>
            <w:pPr>
              <w:jc w:val="right"/>
              <w:bidi w:val="1"/>
            </w:pPr>
            <w:r/>
            <w:r>
              <w:rPr>
                <w:rFonts w:ascii="Noto Naskh Arabic" w:hAnsi="Noto Naskh Arabic" w:cs="Noto Naskh Arabic"/>
                <w:b w:val="0"/>
                <w:sz w:val="19"/>
              </w:rPr>
              <w:t>[رمز]</w:t>
            </w:r>
          </w:p>
        </w:tc>
      </w:tr>
      <w:tr>
        <w:tc>
          <w:tcPr>
            <w:tcW w:type="dxa" w:w="2606"/>
            <w:vAlign w:val="center"/>
            <w:shd w:fill="155B4C"/>
          </w:tcPr>
          <w:p>
            <w:pPr>
              <w:jc w:val="right"/>
              <w:bidi w:val="1"/>
            </w:pPr>
            <w:r/>
            <w:r>
              <w:rPr>
                <w:rFonts w:ascii="Noto Naskh Arabic" w:hAnsi="Noto Naskh Arabic" w:cs="Noto Naskh Arabic"/>
                <w:b/>
                <w:color w:val="FFFFFF"/>
                <w:sz w:val="19"/>
              </w:rPr>
              <w:t>الإصدار</w:t>
            </w:r>
          </w:p>
        </w:tc>
        <w:tc>
          <w:tcPr>
            <w:tcW w:type="dxa" w:w="2606"/>
            <w:vAlign w:val="center"/>
          </w:tcPr>
          <w:p>
            <w:pPr>
              <w:jc w:val="right"/>
              <w:bidi w:val="1"/>
            </w:pPr>
            <w:r/>
            <w:r>
              <w:rPr>
                <w:rFonts w:ascii="Noto Naskh Arabic" w:hAnsi="Noto Naskh Arabic" w:cs="Noto Naskh Arabic"/>
                <w:b w:val="0"/>
                <w:sz w:val="19"/>
              </w:rPr>
              <w:t>1.0</w:t>
            </w:r>
          </w:p>
        </w:tc>
        <w:tc>
          <w:tcPr>
            <w:tcW w:type="dxa" w:w="2606"/>
            <w:vAlign w:val="center"/>
            <w:shd w:fill="155B4C"/>
          </w:tcPr>
          <w:p>
            <w:pPr>
              <w:jc w:val="right"/>
              <w:bidi w:val="1"/>
            </w:pPr>
            <w:r/>
            <w:r>
              <w:rPr>
                <w:rFonts w:ascii="Noto Naskh Arabic" w:hAnsi="Noto Naskh Arabic" w:cs="Noto Naskh Arabic"/>
                <w:b/>
                <w:color w:val="FFFFFF"/>
                <w:sz w:val="19"/>
              </w:rPr>
              <w:t>تاريخ الاعتماد</w:t>
            </w:r>
          </w:p>
        </w:tc>
        <w:tc>
          <w:tcPr>
            <w:tcW w:type="dxa" w:w="2606"/>
            <w:vAlign w:val="center"/>
          </w:tcPr>
          <w:p>
            <w:pPr>
              <w:jc w:val="right"/>
              <w:bidi w:val="1"/>
            </w:pPr>
            <w:r/>
            <w:r>
              <w:rPr>
                <w:rFonts w:ascii="Noto Naskh Arabic" w:hAnsi="Noto Naskh Arabic" w:cs="Noto Naskh Arabic"/>
                <w:b w:val="0"/>
                <w:sz w:val="19"/>
              </w:rPr>
              <w:t>[اليوم/الشهر/السنة]</w:t>
            </w:r>
          </w:p>
        </w:tc>
      </w:tr>
      <w:tr>
        <w:tc>
          <w:tcPr>
            <w:tcW w:type="dxa" w:w="2606"/>
            <w:vAlign w:val="center"/>
            <w:shd w:fill="155B4C"/>
          </w:tcPr>
          <w:p>
            <w:pPr>
              <w:jc w:val="right"/>
              <w:bidi w:val="1"/>
            </w:pPr>
            <w:r/>
            <w:r>
              <w:rPr>
                <w:rFonts w:ascii="Noto Naskh Arabic" w:hAnsi="Noto Naskh Arabic" w:cs="Noto Naskh Arabic"/>
                <w:b/>
                <w:color w:val="FFFFFF"/>
                <w:sz w:val="19"/>
              </w:rPr>
              <w:t>قرار الاعتماد</w:t>
            </w:r>
          </w:p>
        </w:tc>
        <w:tc>
          <w:tcPr>
            <w:tcW w:type="dxa" w:w="2606"/>
            <w:vAlign w:val="center"/>
          </w:tcPr>
          <w:p>
            <w:pPr>
              <w:jc w:val="right"/>
              <w:bidi w:val="1"/>
            </w:pPr>
            <w:r/>
            <w:r>
              <w:rPr>
                <w:rFonts w:ascii="Noto Naskh Arabic" w:hAnsi="Noto Naskh Arabic" w:cs="Noto Naskh Arabic"/>
                <w:b w:val="0"/>
                <w:sz w:val="19"/>
              </w:rPr>
              <w:t>[رقم القرار]</w:t>
            </w:r>
          </w:p>
        </w:tc>
        <w:tc>
          <w:tcPr>
            <w:tcW w:type="dxa" w:w="2606"/>
            <w:vAlign w:val="center"/>
            <w:shd w:fill="155B4C"/>
          </w:tcPr>
          <w:p>
            <w:pPr>
              <w:jc w:val="right"/>
              <w:bidi w:val="1"/>
            </w:pPr>
            <w:r/>
            <w:r>
              <w:rPr>
                <w:rFonts w:ascii="Noto Naskh Arabic" w:hAnsi="Noto Naskh Arabic" w:cs="Noto Naskh Arabic"/>
                <w:b/>
                <w:color w:val="FFFFFF"/>
                <w:sz w:val="19"/>
              </w:rPr>
              <w:t>مسؤول الوثيقة</w:t>
            </w:r>
          </w:p>
        </w:tc>
        <w:tc>
          <w:tcPr>
            <w:tcW w:type="dxa" w:w="2606"/>
            <w:vAlign w:val="center"/>
          </w:tcPr>
          <w:p>
            <w:pPr>
              <w:jc w:val="right"/>
              <w:bidi w:val="1"/>
            </w:pPr>
            <w:r/>
            <w:r>
              <w:rPr>
                <w:rFonts w:ascii="Noto Naskh Arabic" w:hAnsi="Noto Naskh Arabic" w:cs="Noto Naskh Arabic"/>
                <w:b w:val="0"/>
                <w:sz w:val="19"/>
              </w:rPr>
              <w:t>[المسمى الوظيفي]</w:t>
            </w:r>
          </w:p>
        </w:tc>
      </w:tr>
      <w:tr>
        <w:tc>
          <w:tcPr>
            <w:tcW w:type="dxa" w:w="2606"/>
            <w:vAlign w:val="center"/>
            <w:shd w:fill="155B4C"/>
          </w:tcPr>
          <w:p>
            <w:pPr>
              <w:jc w:val="right"/>
              <w:bidi w:val="1"/>
            </w:pPr>
            <w:r/>
            <w:r>
              <w:rPr>
                <w:rFonts w:ascii="Noto Naskh Arabic" w:hAnsi="Noto Naskh Arabic" w:cs="Noto Naskh Arabic"/>
                <w:b/>
                <w:color w:val="FFFFFF"/>
                <w:sz w:val="19"/>
              </w:rPr>
              <w:t>دورية المراجعة</w:t>
            </w:r>
          </w:p>
        </w:tc>
        <w:tc>
          <w:tcPr>
            <w:tcW w:type="dxa" w:w="2606"/>
            <w:vAlign w:val="center"/>
          </w:tcPr>
          <w:p>
            <w:pPr>
              <w:jc w:val="right"/>
              <w:bidi w:val="1"/>
            </w:pPr>
            <w:r/>
            <w:r>
              <w:rPr>
                <w:rFonts w:ascii="Noto Naskh Arabic" w:hAnsi="Noto Naskh Arabic" w:cs="Noto Naskh Arabic"/>
                <w:b w:val="0"/>
                <w:sz w:val="19"/>
              </w:rPr>
              <w:t>سنويًا أو عند الحاجة</w:t>
            </w:r>
          </w:p>
        </w:tc>
        <w:tc>
          <w:tcPr>
            <w:tcW w:type="dxa" w:w="2606"/>
            <w:vAlign w:val="center"/>
            <w:shd w:fill="155B4C"/>
          </w:tcPr>
          <w:p>
            <w:pPr>
              <w:jc w:val="right"/>
              <w:bidi w:val="1"/>
            </w:pPr>
            <w:r/>
            <w:r>
              <w:rPr>
                <w:rFonts w:ascii="Noto Naskh Arabic" w:hAnsi="Noto Naskh Arabic" w:cs="Noto Naskh Arabic"/>
                <w:b/>
                <w:color w:val="FFFFFF"/>
                <w:sz w:val="19"/>
              </w:rPr>
              <w:t>حالة الوثيقة</w:t>
            </w:r>
          </w:p>
        </w:tc>
        <w:tc>
          <w:tcPr>
            <w:tcW w:type="dxa" w:w="2606"/>
            <w:vAlign w:val="center"/>
          </w:tcPr>
          <w:p>
            <w:pPr>
              <w:jc w:val="right"/>
              <w:bidi w:val="1"/>
            </w:pPr>
            <w:r/>
            <w:r>
              <w:rPr>
                <w:rFonts w:ascii="Noto Naskh Arabic" w:hAnsi="Noto Naskh Arabic" w:cs="Noto Naskh Arabic"/>
                <w:b w:val="0"/>
                <w:sz w:val="19"/>
              </w:rPr>
              <w:t>مسودة للمراجعة</w:t>
            </w:r>
          </w:p>
        </w:tc>
      </w:tr>
    </w:tbl>
    <w:p>
      <w:pPr>
        <w:spacing w:before="160" w:after="160" w:line="276" w:lineRule="auto"/>
        <w:jc w:val="right"/>
        <w:bidi w:val="1"/>
      </w:pPr>
      <w:r>
        <w:rPr>
          <w:rFonts w:ascii="Noto Naskh Arabic" w:hAnsi="Noto Naskh Arabic" w:cs="Noto Naskh Arabic"/>
          <w:b/>
          <w:color w:val="914114"/>
          <w:sz w:val="20"/>
        </w:rPr>
        <w:t>تنبيه: يجب مواءمة هذا النموذج مع نشاط الجمعية ولائحتها الأساسية والأنظمة واللوائح السارية، ثم اعتماده رسميًا قبل نشره أو تطبيقه.</w:t>
      </w:r>
    </w:p>
    <w:p>
      <w:pPr>
        <w:spacing w:before="160" w:after="100" w:line="276" w:lineRule="auto"/>
        <w:jc w:val="right"/>
        <w:bidi w:val="1"/>
      </w:pPr>
      <w:r>
        <w:rPr>
          <w:rFonts w:ascii="Noto Naskh Arabic" w:hAnsi="Noto Naskh Arabic" w:cs="Noto Naskh Arabic"/>
          <w:b/>
          <w:color w:val="155B4C"/>
          <w:sz w:val="32"/>
        </w:rPr>
        <w:t>بيانات الوثيقة</w:t>
      </w:r>
    </w:p>
    <w:p>
      <w:pPr>
        <w:pStyle w:val="ListBullet"/>
        <w:spacing w:after="60" w:line="269" w:lineRule="auto"/>
        <w:ind w:left="283" w:right="340"/>
        <w:jc w:val="right"/>
        <w:bidi w:val="1"/>
      </w:pPr>
      <w:r>
        <w:rPr>
          <w:rFonts w:ascii="Noto Naskh Arabic" w:hAnsi="Noto Naskh Arabic" w:cs="Noto Naskh Arabic"/>
          <w:b w:val="0"/>
          <w:sz w:val="21"/>
        </w:rPr>
        <w:t>التصنيف: السياسات.</w:t>
      </w:r>
    </w:p>
    <w:p>
      <w:pPr>
        <w:pStyle w:val="ListBullet"/>
        <w:spacing w:after="60" w:line="269" w:lineRule="auto"/>
        <w:ind w:left="283" w:right="340"/>
        <w:jc w:val="right"/>
        <w:bidi w:val="1"/>
      </w:pPr>
      <w:r>
        <w:rPr>
          <w:rFonts w:ascii="Noto Naskh Arabic" w:hAnsi="Noto Naskh Arabic" w:cs="Noto Naskh Arabic"/>
          <w:b w:val="0"/>
          <w:sz w:val="21"/>
        </w:rPr>
        <w:t>نطاق التطبيق: مجلس الإدارة، والإدارة التنفيذية، والموظفون، والمتطوعون، والمتعاقدون بحسب طبيعة الوثيقة.</w:t>
      </w:r>
    </w:p>
    <w:p>
      <w:pPr>
        <w:pStyle w:val="ListBullet"/>
        <w:spacing w:after="60" w:line="269" w:lineRule="auto"/>
        <w:ind w:left="283" w:right="340"/>
        <w:jc w:val="right"/>
        <w:bidi w:val="1"/>
      </w:pPr>
      <w:r>
        <w:rPr>
          <w:rFonts w:ascii="Noto Naskh Arabic" w:hAnsi="Noto Naskh Arabic" w:cs="Noto Naskh Arabic"/>
          <w:b w:val="0"/>
          <w:sz w:val="21"/>
        </w:rPr>
        <w:t>سجل التعديل: توثق كل مراجعة برقم إصدار وتاريخ وملخص للتغيير وقرار الاعتماد.</w:t>
      </w:r>
    </w:p>
    <w:p>
      <w:pPr>
        <w:spacing w:before="160" w:after="100" w:line="276" w:lineRule="auto"/>
        <w:jc w:val="right"/>
        <w:bidi w:val="1"/>
      </w:pPr>
      <w:r>
        <w:rPr>
          <w:rFonts w:ascii="Noto Naskh Arabic" w:hAnsi="Noto Naskh Arabic" w:cs="Noto Naskh Arabic"/>
          <w:b/>
          <w:color w:val="155B4C"/>
          <w:sz w:val="26"/>
        </w:rPr>
        <w:t>الهدف</w:t>
      </w:r>
    </w:p>
    <w:p>
      <w:pPr>
        <w:pStyle w:val="ListBullet"/>
        <w:spacing w:after="60" w:line="269" w:lineRule="auto"/>
        <w:ind w:left="283" w:right="340"/>
        <w:jc w:val="right"/>
        <w:bidi w:val="1"/>
      </w:pPr>
      <w:r>
        <w:rPr>
          <w:rFonts w:ascii="Noto Naskh Arabic" w:hAnsi="Noto Naskh Arabic" w:cs="Noto Naskh Arabic"/>
          <w:b w:val="0"/>
          <w:sz w:val="21"/>
        </w:rPr>
        <w:t>إتاحة قنوات آمنة للإبلاغ عن الاحتيال أو الفساد أو إساءة استخدام السلطة أو مخالفة الأنظمة والسياسات.</w:t>
      </w:r>
    </w:p>
    <w:p>
      <w:pPr>
        <w:spacing w:before="160" w:after="100" w:line="276" w:lineRule="auto"/>
        <w:jc w:val="right"/>
        <w:bidi w:val="1"/>
      </w:pPr>
      <w:r>
        <w:rPr>
          <w:rFonts w:ascii="Noto Naskh Arabic" w:hAnsi="Noto Naskh Arabic" w:cs="Noto Naskh Arabic"/>
          <w:b/>
          <w:color w:val="155B4C"/>
          <w:sz w:val="26"/>
        </w:rPr>
        <w:t>قنوات البلاغ</w:t>
      </w:r>
    </w:p>
    <w:p>
      <w:pPr>
        <w:pStyle w:val="ListBullet"/>
        <w:spacing w:after="60" w:line="269" w:lineRule="auto"/>
        <w:ind w:left="283" w:right="340"/>
        <w:jc w:val="right"/>
        <w:bidi w:val="1"/>
      </w:pPr>
      <w:r>
        <w:rPr>
          <w:rFonts w:ascii="Noto Naskh Arabic" w:hAnsi="Noto Naskh Arabic" w:cs="Noto Naskh Arabic"/>
          <w:b w:val="0"/>
          <w:sz w:val="21"/>
        </w:rPr>
        <w:t>بريد إلكتروني أو نموذج إلكتروني أو صندوق مخصص أو اتصال بمسؤول مستقل.</w:t>
      </w:r>
    </w:p>
    <w:p>
      <w:pPr>
        <w:pStyle w:val="ListBullet"/>
        <w:spacing w:after="60" w:line="269" w:lineRule="auto"/>
        <w:ind w:left="283" w:right="340"/>
        <w:jc w:val="right"/>
        <w:bidi w:val="1"/>
      </w:pPr>
      <w:r>
        <w:rPr>
          <w:rFonts w:ascii="Noto Naskh Arabic" w:hAnsi="Noto Naskh Arabic" w:cs="Noto Naskh Arabic"/>
          <w:b w:val="0"/>
          <w:sz w:val="21"/>
        </w:rPr>
        <w:t>يجوز قبول البلاغ المجهول مع بيان أن نقص المعلومات قد يحد من التحقيق.</w:t>
      </w:r>
    </w:p>
    <w:p>
      <w:pPr>
        <w:spacing w:before="160" w:after="100" w:line="276" w:lineRule="auto"/>
        <w:jc w:val="right"/>
        <w:bidi w:val="1"/>
      </w:pPr>
      <w:r>
        <w:rPr>
          <w:rFonts w:ascii="Noto Naskh Arabic" w:hAnsi="Noto Naskh Arabic" w:cs="Noto Naskh Arabic"/>
          <w:b/>
          <w:color w:val="155B4C"/>
          <w:sz w:val="26"/>
        </w:rPr>
        <w:t>متطلبات البلاغ</w:t>
      </w:r>
    </w:p>
    <w:p>
      <w:pPr>
        <w:pStyle w:val="ListBullet"/>
        <w:spacing w:after="60" w:line="269" w:lineRule="auto"/>
        <w:ind w:left="283" w:right="340"/>
        <w:jc w:val="right"/>
        <w:bidi w:val="1"/>
      </w:pPr>
      <w:r>
        <w:rPr>
          <w:rFonts w:ascii="Noto Naskh Arabic" w:hAnsi="Noto Naskh Arabic" w:cs="Noto Naskh Arabic"/>
          <w:b w:val="0"/>
          <w:sz w:val="21"/>
        </w:rPr>
        <w:t>وصف الواقعة وتاريخها والأشخاص أو الجهات ذات الصلة والمستندات المتاحة دون جمع غير مشروع للمعلومات.</w:t>
      </w:r>
    </w:p>
    <w:p>
      <w:pPr>
        <w:spacing w:before="160" w:after="100" w:line="276" w:lineRule="auto"/>
        <w:jc w:val="right"/>
        <w:bidi w:val="1"/>
      </w:pPr>
      <w:r>
        <w:rPr>
          <w:rFonts w:ascii="Noto Naskh Arabic" w:hAnsi="Noto Naskh Arabic" w:cs="Noto Naskh Arabic"/>
          <w:b/>
          <w:color w:val="155B4C"/>
          <w:sz w:val="26"/>
        </w:rPr>
        <w:t>الحماية</w:t>
      </w:r>
    </w:p>
    <w:p>
      <w:pPr>
        <w:pStyle w:val="ListBullet"/>
        <w:spacing w:after="60" w:line="269" w:lineRule="auto"/>
        <w:ind w:left="283" w:right="340"/>
        <w:jc w:val="right"/>
        <w:bidi w:val="1"/>
      </w:pPr>
      <w:r>
        <w:rPr>
          <w:rFonts w:ascii="Noto Naskh Arabic" w:hAnsi="Noto Naskh Arabic" w:cs="Noto Naskh Arabic"/>
          <w:b w:val="0"/>
          <w:sz w:val="21"/>
        </w:rPr>
        <w:t>حظر الانتقام أو التهديد أو الإضرار الوظيفي بسبب بلاغ حسن النية.</w:t>
      </w:r>
    </w:p>
    <w:p>
      <w:pPr>
        <w:pStyle w:val="ListBullet"/>
        <w:spacing w:after="60" w:line="269" w:lineRule="auto"/>
        <w:ind w:left="283" w:right="340"/>
        <w:jc w:val="right"/>
        <w:bidi w:val="1"/>
      </w:pPr>
      <w:r>
        <w:rPr>
          <w:rFonts w:ascii="Noto Naskh Arabic" w:hAnsi="Noto Naskh Arabic" w:cs="Noto Naskh Arabic"/>
          <w:b w:val="0"/>
          <w:sz w:val="21"/>
        </w:rPr>
        <w:t>حماية هوية المبلغ والبيانات وقصر الوصول على فريق الحاجة إلى المعرفة.</w:t>
      </w:r>
    </w:p>
    <w:p>
      <w:pPr>
        <w:spacing w:before="160" w:after="100" w:line="276" w:lineRule="auto"/>
        <w:jc w:val="right"/>
        <w:bidi w:val="1"/>
      </w:pPr>
      <w:r>
        <w:rPr>
          <w:rFonts w:ascii="Noto Naskh Arabic" w:hAnsi="Noto Naskh Arabic" w:cs="Noto Naskh Arabic"/>
          <w:b/>
          <w:color w:val="155B4C"/>
          <w:sz w:val="26"/>
        </w:rPr>
        <w:t>إدارة البلاغ</w:t>
      </w:r>
    </w:p>
    <w:p>
      <w:pPr>
        <w:pStyle w:val="ListBullet"/>
        <w:spacing w:after="60" w:line="269" w:lineRule="auto"/>
        <w:ind w:left="283" w:right="340"/>
        <w:jc w:val="right"/>
        <w:bidi w:val="1"/>
      </w:pPr>
      <w:r>
        <w:rPr>
          <w:rFonts w:ascii="Noto Naskh Arabic" w:hAnsi="Noto Naskh Arabic" w:cs="Noto Naskh Arabic"/>
          <w:b w:val="0"/>
          <w:sz w:val="21"/>
        </w:rPr>
        <w:t>تسجيل البلاغ، وفرزه، وتقييم تضارب المصالح، وتعيين محقق مؤهل، وتوثيق النتائج والتوصيات.</w:t>
      </w:r>
    </w:p>
    <w:p>
      <w:pPr>
        <w:pStyle w:val="ListBullet"/>
        <w:spacing w:after="60" w:line="269" w:lineRule="auto"/>
        <w:ind w:left="283" w:right="340"/>
        <w:jc w:val="right"/>
        <w:bidi w:val="1"/>
      </w:pPr>
      <w:r>
        <w:rPr>
          <w:rFonts w:ascii="Noto Naskh Arabic" w:hAnsi="Noto Naskh Arabic" w:cs="Noto Naskh Arabic"/>
          <w:b w:val="0"/>
          <w:sz w:val="21"/>
        </w:rPr>
        <w:t>إحالة ما يلزم إلى الجهات المختصة وفق الأنظمة.</w:t>
      </w:r>
    </w:p>
    <w:p>
      <w:pPr>
        <w:spacing w:before="160" w:after="100" w:line="276" w:lineRule="auto"/>
        <w:jc w:val="right"/>
        <w:bidi w:val="1"/>
      </w:pPr>
      <w:r>
        <w:rPr>
          <w:rFonts w:ascii="Noto Naskh Arabic" w:hAnsi="Noto Naskh Arabic" w:cs="Noto Naskh Arabic"/>
          <w:b/>
          <w:color w:val="155B4C"/>
          <w:sz w:val="26"/>
        </w:rPr>
        <w:t>سوء الاستخدام</w:t>
      </w:r>
    </w:p>
    <w:p>
      <w:pPr>
        <w:pStyle w:val="ListBullet"/>
        <w:spacing w:after="60" w:line="269" w:lineRule="auto"/>
        <w:ind w:left="283" w:right="340"/>
        <w:jc w:val="right"/>
        <w:bidi w:val="1"/>
      </w:pPr>
      <w:r>
        <w:rPr>
          <w:rFonts w:ascii="Noto Naskh Arabic" w:hAnsi="Noto Naskh Arabic" w:cs="Noto Naskh Arabic"/>
          <w:b w:val="0"/>
          <w:sz w:val="21"/>
        </w:rPr>
        <w:t>لا تشمل الحماية البلاغات الكيدية أو المتعمدة الكذب، وتطبق بشأنها الإجراءات العادلة المعتمدة.</w:t>
      </w:r>
    </w:p>
    <w:p>
      <w:pPr>
        <w:spacing w:before="160" w:after="100" w:line="276" w:lineRule="auto"/>
        <w:jc w:val="right"/>
        <w:bidi w:val="1"/>
      </w:pPr>
      <w:r>
        <w:rPr>
          <w:rFonts w:ascii="Noto Naskh Arabic" w:hAnsi="Noto Naskh Arabic" w:cs="Noto Naskh Arabic"/>
          <w:b/>
          <w:color w:val="155B4C"/>
          <w:sz w:val="26"/>
        </w:rPr>
        <w:t>المراجعة والاعتماد</w:t>
      </w:r>
    </w:p>
    <w:p>
      <w:pPr>
        <w:pStyle w:val="ListBullet"/>
        <w:spacing w:after="60" w:line="269" w:lineRule="auto"/>
        <w:ind w:left="283" w:right="340"/>
        <w:jc w:val="right"/>
        <w:bidi w:val="1"/>
      </w:pPr>
      <w:r>
        <w:rPr>
          <w:rFonts w:ascii="Noto Naskh Arabic" w:hAnsi="Noto Naskh Arabic" w:cs="Noto Naskh Arabic"/>
          <w:b w:val="0"/>
          <w:sz w:val="21"/>
        </w:rPr>
        <w:t>تراجع الوثيقة دوريًا وعند صدور تحديث نظامي أو حدوث تغيير جوهري في أعمال الجمعية.</w:t>
      </w:r>
    </w:p>
    <w:p>
      <w:pPr>
        <w:pStyle w:val="ListBullet"/>
        <w:spacing w:after="60" w:line="269" w:lineRule="auto"/>
        <w:ind w:left="283" w:right="340"/>
        <w:jc w:val="right"/>
        <w:bidi w:val="1"/>
      </w:pPr>
      <w:r>
        <w:rPr>
          <w:rFonts w:ascii="Noto Naskh Arabic" w:hAnsi="Noto Naskh Arabic" w:cs="Noto Naskh Arabic"/>
          <w:b w:val="0"/>
          <w:sz w:val="21"/>
        </w:rPr>
        <w:t>لا تصبح الوثيقة نافذة إلا بعد اعتمادها وفق الصلاحيات المعتمدة في الجمعية.</w:t>
      </w:r>
    </w:p>
    <w:p>
      <w:pPr>
        <w:pStyle w:val="ListBullet"/>
        <w:spacing w:after="60" w:line="269" w:lineRule="auto"/>
        <w:ind w:left="283" w:right="340"/>
        <w:jc w:val="right"/>
        <w:bidi w:val="1"/>
      </w:pPr>
      <w:r>
        <w:rPr>
          <w:rFonts w:ascii="Noto Naskh Arabic" w:hAnsi="Noto Naskh Arabic" w:cs="Noto Naskh Arabic"/>
          <w:b w:val="0"/>
          <w:sz w:val="21"/>
        </w:rPr>
        <w:t>تحفظ النسخة المعتمدة وسجل التعديلات في مستودع الوثائق الرسمي، وتنشر النسخة المخصصة للإفصاح عند الحاجة.</w:t>
      </w:r>
    </w:p>
    <w:tbl>
      <w:tblPr>
        <w:tblStyle w:val="TableGrid"/>
        <w:tblW w:type="auto" w:w="0"/>
        <w:jc w:val="center"/>
        <w:tblLook w:firstColumn="1" w:firstRow="1" w:lastColumn="0" w:lastRow="0" w:noHBand="0" w:noVBand="1" w:val="04A0"/>
      </w:tblPr>
      <w:tblGrid>
        <w:gridCol w:w="3475"/>
        <w:gridCol w:w="3475"/>
        <w:gridCol w:w="3475"/>
      </w:tblGrid>
      <w:tr>
        <w:tc>
          <w:tcPr>
            <w:tcW w:type="dxa" w:w="3475"/>
            <w:shd w:fill="155B4C"/>
          </w:tcPr>
          <w:p>
            <w:pPr>
              <w:jc w:val="center"/>
              <w:bidi w:val="1"/>
            </w:pPr>
            <w:r/>
            <w:r>
              <w:rPr>
                <w:rFonts w:ascii="Noto Naskh Arabic" w:hAnsi="Noto Naskh Arabic" w:cs="Noto Naskh Arabic"/>
                <w:b/>
                <w:color w:val="FFFFFF"/>
                <w:sz w:val="19"/>
              </w:rPr>
              <w:t>الإعداد</w:t>
            </w:r>
          </w:p>
        </w:tc>
        <w:tc>
          <w:tcPr>
            <w:tcW w:type="dxa" w:w="3475"/>
            <w:shd w:fill="155B4C"/>
          </w:tcPr>
          <w:p>
            <w:pPr>
              <w:jc w:val="center"/>
              <w:bidi w:val="1"/>
            </w:pPr>
            <w:r/>
            <w:r>
              <w:rPr>
                <w:rFonts w:ascii="Noto Naskh Arabic" w:hAnsi="Noto Naskh Arabic" w:cs="Noto Naskh Arabic"/>
                <w:b/>
                <w:color w:val="FFFFFF"/>
                <w:sz w:val="19"/>
              </w:rPr>
              <w:t>المراجعة</w:t>
            </w:r>
          </w:p>
        </w:tc>
        <w:tc>
          <w:tcPr>
            <w:tcW w:type="dxa" w:w="3475"/>
            <w:shd w:fill="155B4C"/>
          </w:tcPr>
          <w:p>
            <w:pPr>
              <w:jc w:val="center"/>
              <w:bidi w:val="1"/>
            </w:pPr>
            <w:r/>
            <w:r>
              <w:rPr>
                <w:rFonts w:ascii="Noto Naskh Arabic" w:hAnsi="Noto Naskh Arabic" w:cs="Noto Naskh Arabic"/>
                <w:b/>
                <w:color w:val="FFFFFF"/>
                <w:sz w:val="19"/>
              </w:rPr>
              <w:t>الاعتماد</w:t>
            </w:r>
          </w:p>
        </w:tc>
      </w:tr>
      <w:tr>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[مجلس الإدارة/صاحب الصلاحية]</w:t>
            </w:r>
          </w:p>
        </w:tc>
      </w:tr>
      <w:tr>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[رقم القرار والتاريخ]</w:t>
            </w:r>
          </w:p>
        </w:tc>
      </w:tr>
    </w:tbl>
    <w:p>
      <w:pPr>
        <w:spacing w:before="200" w:after="40" w:line="276" w:lineRule="auto"/>
        <w:jc w:val="right"/>
        <w:bidi w:val="1"/>
      </w:pPr>
      <w:r>
        <w:rPr>
          <w:rFonts w:ascii="Noto Naskh Arabic" w:hAnsi="Noto Naskh Arabic" w:cs="Noto Naskh Arabic"/>
          <w:b w:val="0"/>
          <w:color w:val="646464"/>
          <w:sz w:val="17"/>
        </w:rPr>
        <w:t>مصادر الاسترشاد: قواعد وأدلة المركز الوطني لتنمية القطاع غير الربحي، والموضوعات والبنى المتكررة في وثائق الحوكمة المنشورة علنًا في مواقع جمعيات أهلية سعودية. أُعيدت صياغة المحتوى كنموذج عام ولم يُنسخ كوثيقة خاصة بأي جمعية.</w:t>
      </w:r>
    </w:p>
    <w:sectPr w:rsidR="00FC693F" w:rsidRPr="0006063C" w:rsidSect="00034616">
      <w:headerReference w:type="default" r:id="rId9"/>
      <w:footerReference w:type="default" r:id="rId10"/>
      <w:pgSz w:w="12240" w:h="15840"/>
      <w:pgMar w:top="907" w:right="907" w:bottom="850"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Noto Naskh Arabic" w:hAnsi="Noto Naskh Arabic" w:cs="Noto Naskh Arabic"/>
        <w:b w:val="0"/>
        <w:color w:val="646464"/>
        <w:sz w:val="16"/>
      </w:rPr>
      <w:t>نموذج استرشادي قابل للتعديل - لا يعد معتمدًا إلا بعد مراجعته واعتماده من الجهة المختصة في الجمعية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bidi w:val="1"/>
    </w:pPr>
    <w:r>
      <w:rPr>
        <w:rFonts w:ascii="Noto Kufi Arabic" w:hAnsi="Noto Kufi Arabic" w:cs="Noto Kufi Arabic"/>
        <w:b/>
        <w:color w:val="46625B"/>
        <w:sz w:val="18"/>
      </w:rPr>
      <w:t>[شعار الجمعية]   |   [اسم الجمعية]</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Naskh Arabic" w:hAnsi="Noto Naskh Arabic" w:cs="Noto Naskh Arabi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Noto Naskh Arabic" w:hAnsi="Noto Naskh Arabic" w:cs="Noto Naskh Arabic"/>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Noto Naskh Arabic" w:hAnsi="Noto Naskh Arabic" w:cs="Noto Naskh Arabic"/>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