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تعارض المصالح</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حماية نزاهة القرارات وسمعة الجمعية ومنع تقديم المصالح الشخصية أو العائلية أو المهنية على مصلحة الجمعية.</w:t>
      </w:r>
    </w:p>
    <w:p>
      <w:pPr>
        <w:spacing w:before="160" w:after="100" w:line="276" w:lineRule="auto"/>
        <w:jc w:val="right"/>
        <w:bidi w:val="1"/>
      </w:pPr>
      <w:r>
        <w:rPr>
          <w:rFonts w:ascii="Noto Naskh Arabic" w:hAnsi="Noto Naskh Arabic" w:cs="Noto Naskh Arabic"/>
          <w:b/>
          <w:color w:val="155B4C"/>
          <w:sz w:val="26"/>
        </w:rPr>
        <w:t>النطاق</w:t>
      </w:r>
    </w:p>
    <w:p>
      <w:pPr>
        <w:pStyle w:val="ListBullet"/>
        <w:spacing w:after="60" w:line="269" w:lineRule="auto"/>
        <w:ind w:left="283" w:right="340"/>
        <w:jc w:val="right"/>
        <w:bidi w:val="1"/>
      </w:pPr>
      <w:r>
        <w:rPr>
          <w:rFonts w:ascii="Noto Naskh Arabic" w:hAnsi="Noto Naskh Arabic" w:cs="Noto Naskh Arabic"/>
          <w:b w:val="0"/>
          <w:sz w:val="21"/>
        </w:rPr>
        <w:t>تطبق على أعضاء الجمعية العمومية ومجلس الإدارة واللجان والإدارة التنفيذية والموظفين والمتطوعين والمستشارين والمتعاقدين بحسب العلاقة.</w:t>
      </w:r>
    </w:p>
    <w:p>
      <w:pPr>
        <w:spacing w:before="160" w:after="100" w:line="276" w:lineRule="auto"/>
        <w:jc w:val="right"/>
        <w:bidi w:val="1"/>
      </w:pPr>
      <w:r>
        <w:rPr>
          <w:rFonts w:ascii="Noto Naskh Arabic" w:hAnsi="Noto Naskh Arabic" w:cs="Noto Naskh Arabic"/>
          <w:b/>
          <w:color w:val="155B4C"/>
          <w:sz w:val="26"/>
        </w:rPr>
        <w:t>حالات التعارض</w:t>
      </w:r>
    </w:p>
    <w:p>
      <w:pPr>
        <w:pStyle w:val="ListBullet"/>
        <w:spacing w:after="60" w:line="269" w:lineRule="auto"/>
        <w:ind w:left="283" w:right="340"/>
        <w:jc w:val="right"/>
        <w:bidi w:val="1"/>
      </w:pPr>
      <w:r>
        <w:rPr>
          <w:rFonts w:ascii="Noto Naskh Arabic" w:hAnsi="Noto Naskh Arabic" w:cs="Noto Naskh Arabic"/>
          <w:b w:val="0"/>
          <w:sz w:val="21"/>
        </w:rPr>
        <w:t>وجود منفعة مالية أو غير مالية مباشرة أو غير مباشرة مرتبطة بقرار أو عقد أو توظيف.</w:t>
      </w:r>
    </w:p>
    <w:p>
      <w:pPr>
        <w:pStyle w:val="ListBullet"/>
        <w:spacing w:after="60" w:line="269" w:lineRule="auto"/>
        <w:ind w:left="283" w:right="340"/>
        <w:jc w:val="right"/>
        <w:bidi w:val="1"/>
      </w:pPr>
      <w:r>
        <w:rPr>
          <w:rFonts w:ascii="Noto Naskh Arabic" w:hAnsi="Noto Naskh Arabic" w:cs="Noto Naskh Arabic"/>
          <w:b w:val="0"/>
          <w:sz w:val="21"/>
        </w:rPr>
        <w:t>العلاقات الأسرية أو التجارية التي قد تؤثر في الحياد.</w:t>
      </w:r>
    </w:p>
    <w:p>
      <w:pPr>
        <w:pStyle w:val="ListBullet"/>
        <w:spacing w:after="60" w:line="269" w:lineRule="auto"/>
        <w:ind w:left="283" w:right="340"/>
        <w:jc w:val="right"/>
        <w:bidi w:val="1"/>
      </w:pPr>
      <w:r>
        <w:rPr>
          <w:rFonts w:ascii="Noto Naskh Arabic" w:hAnsi="Noto Naskh Arabic" w:cs="Noto Naskh Arabic"/>
          <w:b w:val="0"/>
          <w:sz w:val="21"/>
        </w:rPr>
        <w:t>الهدايا والضيافة والمزايا التي تتجاوز الحدود المقبولة.</w:t>
      </w:r>
    </w:p>
    <w:p>
      <w:pPr>
        <w:pStyle w:val="ListBullet"/>
        <w:spacing w:after="60" w:line="269" w:lineRule="auto"/>
        <w:ind w:left="283" w:right="340"/>
        <w:jc w:val="right"/>
        <w:bidi w:val="1"/>
      </w:pPr>
      <w:r>
        <w:rPr>
          <w:rFonts w:ascii="Noto Naskh Arabic" w:hAnsi="Noto Naskh Arabic" w:cs="Noto Naskh Arabic"/>
          <w:b w:val="0"/>
          <w:sz w:val="21"/>
        </w:rPr>
        <w:t>استخدام معلومات أو أصول الجمعية لتحقيق منفعة خاصة.</w:t>
      </w:r>
    </w:p>
    <w:p>
      <w:pPr>
        <w:spacing w:before="160" w:after="100" w:line="276" w:lineRule="auto"/>
        <w:jc w:val="right"/>
        <w:bidi w:val="1"/>
      </w:pPr>
      <w:r>
        <w:rPr>
          <w:rFonts w:ascii="Noto Naskh Arabic" w:hAnsi="Noto Naskh Arabic" w:cs="Noto Naskh Arabic"/>
          <w:b/>
          <w:color w:val="155B4C"/>
          <w:sz w:val="26"/>
        </w:rPr>
        <w:t>الالتزامات</w:t>
      </w:r>
    </w:p>
    <w:p>
      <w:pPr>
        <w:pStyle w:val="ListBullet"/>
        <w:spacing w:after="60" w:line="269" w:lineRule="auto"/>
        <w:ind w:left="283" w:right="340"/>
        <w:jc w:val="right"/>
        <w:bidi w:val="1"/>
      </w:pPr>
      <w:r>
        <w:rPr>
          <w:rFonts w:ascii="Noto Naskh Arabic" w:hAnsi="Noto Naskh Arabic" w:cs="Noto Naskh Arabic"/>
          <w:b w:val="0"/>
          <w:sz w:val="21"/>
        </w:rPr>
        <w:t>الإفصاح الأولي والسنوي والفوري عن أي تعارض فعلي أو محتمل.</w:t>
      </w:r>
    </w:p>
    <w:p>
      <w:pPr>
        <w:pStyle w:val="ListBullet"/>
        <w:spacing w:after="60" w:line="269" w:lineRule="auto"/>
        <w:ind w:left="283" w:right="340"/>
        <w:jc w:val="right"/>
        <w:bidi w:val="1"/>
      </w:pPr>
      <w:r>
        <w:rPr>
          <w:rFonts w:ascii="Noto Naskh Arabic" w:hAnsi="Noto Naskh Arabic" w:cs="Noto Naskh Arabic"/>
          <w:b w:val="0"/>
          <w:sz w:val="21"/>
        </w:rPr>
        <w:t>الامتناع عن المناقشة أو التصويت أو التقييم عند وجود تعارض.</w:t>
      </w:r>
    </w:p>
    <w:p>
      <w:pPr>
        <w:pStyle w:val="ListBullet"/>
        <w:spacing w:after="60" w:line="269" w:lineRule="auto"/>
        <w:ind w:left="283" w:right="340"/>
        <w:jc w:val="right"/>
        <w:bidi w:val="1"/>
      </w:pPr>
      <w:r>
        <w:rPr>
          <w:rFonts w:ascii="Noto Naskh Arabic" w:hAnsi="Noto Naskh Arabic" w:cs="Noto Naskh Arabic"/>
          <w:b w:val="0"/>
          <w:sz w:val="21"/>
        </w:rPr>
        <w:t>عدم التأثير على بقية المشاركين أو الوصول إلى معلومات لا تقتضيها المهمة.</w:t>
      </w:r>
    </w:p>
    <w:p>
      <w:pPr>
        <w:spacing w:before="160" w:after="100" w:line="276" w:lineRule="auto"/>
        <w:jc w:val="right"/>
        <w:bidi w:val="1"/>
      </w:pPr>
      <w:r>
        <w:rPr>
          <w:rFonts w:ascii="Noto Naskh Arabic" w:hAnsi="Noto Naskh Arabic" w:cs="Noto Naskh Arabic"/>
          <w:b/>
          <w:color w:val="155B4C"/>
          <w:sz w:val="26"/>
        </w:rPr>
        <w:t>المعالجة</w:t>
      </w:r>
    </w:p>
    <w:p>
      <w:pPr>
        <w:pStyle w:val="ListBullet"/>
        <w:spacing w:after="60" w:line="269" w:lineRule="auto"/>
        <w:ind w:left="283" w:right="340"/>
        <w:jc w:val="right"/>
        <w:bidi w:val="1"/>
      </w:pPr>
      <w:r>
        <w:rPr>
          <w:rFonts w:ascii="Noto Naskh Arabic" w:hAnsi="Noto Naskh Arabic" w:cs="Noto Naskh Arabic"/>
          <w:b w:val="0"/>
          <w:sz w:val="21"/>
        </w:rPr>
        <w:t>يسجل الإفصاح وتقيّم الحالة ويقرر الاستبعاد أو وضع ضوابط أو إنهاء العلاقة.</w:t>
      </w:r>
    </w:p>
    <w:p>
      <w:pPr>
        <w:pStyle w:val="ListBullet"/>
        <w:spacing w:after="60" w:line="269" w:lineRule="auto"/>
        <w:ind w:left="283" w:right="340"/>
        <w:jc w:val="right"/>
        <w:bidi w:val="1"/>
      </w:pPr>
      <w:r>
        <w:rPr>
          <w:rFonts w:ascii="Noto Naskh Arabic" w:hAnsi="Noto Naskh Arabic" w:cs="Noto Naskh Arabic"/>
          <w:b w:val="0"/>
          <w:sz w:val="21"/>
        </w:rPr>
        <w:t>توثق القرارات في المحاضر والسجلات ويحافظ على السرية بالقدر المناسب.</w:t>
      </w:r>
    </w:p>
    <w:p>
      <w:pPr>
        <w:spacing w:before="160" w:after="100" w:line="276" w:lineRule="auto"/>
        <w:jc w:val="right"/>
        <w:bidi w:val="1"/>
      </w:pPr>
      <w:r>
        <w:rPr>
          <w:rFonts w:ascii="Noto Naskh Arabic" w:hAnsi="Noto Naskh Arabic" w:cs="Noto Naskh Arabic"/>
          <w:b/>
          <w:color w:val="155B4C"/>
          <w:sz w:val="26"/>
        </w:rPr>
        <w:t>النماذج</w:t>
      </w:r>
    </w:p>
    <w:p>
      <w:pPr>
        <w:pStyle w:val="ListBullet"/>
        <w:spacing w:after="60" w:line="269" w:lineRule="auto"/>
        <w:ind w:left="283" w:right="340"/>
        <w:jc w:val="right"/>
        <w:bidi w:val="1"/>
      </w:pPr>
      <w:r>
        <w:rPr>
          <w:rFonts w:ascii="Noto Naskh Arabic" w:hAnsi="Noto Naskh Arabic" w:cs="Noto Naskh Arabic"/>
          <w:b w:val="0"/>
          <w:sz w:val="21"/>
        </w:rPr>
        <w:t>نموذج إفصاح سنوي، ونموذج إفصاح حالة طارئة، وسجل مركزي لحالات التعارض وقرارات معالجتها.</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