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الوقاية من غسل الأموال وتمويل الإرهاب</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الحد من استغلال الجمعية أو خدماتها أو تبرعاتها في غسل الأموال أو تمويل الإرهاب، وفق الأنظمة والتعليمات السارية.</w:t>
      </w:r>
    </w:p>
    <w:p>
      <w:pPr>
        <w:spacing w:before="160" w:after="100" w:line="276" w:lineRule="auto"/>
        <w:jc w:val="right"/>
        <w:bidi w:val="1"/>
      </w:pPr>
      <w:r>
        <w:rPr>
          <w:rFonts w:ascii="Noto Naskh Arabic" w:hAnsi="Noto Naskh Arabic" w:cs="Noto Naskh Arabic"/>
          <w:b/>
          <w:color w:val="155B4C"/>
          <w:sz w:val="26"/>
        </w:rPr>
        <w:t>النهج القائم على المخاطر</w:t>
      </w:r>
    </w:p>
    <w:p>
      <w:pPr>
        <w:pStyle w:val="ListBullet"/>
        <w:spacing w:after="60" w:line="269" w:lineRule="auto"/>
        <w:ind w:left="283" w:right="340"/>
        <w:jc w:val="right"/>
        <w:bidi w:val="1"/>
      </w:pPr>
      <w:r>
        <w:rPr>
          <w:rFonts w:ascii="Noto Naskh Arabic" w:hAnsi="Noto Naskh Arabic" w:cs="Noto Naskh Arabic"/>
          <w:b w:val="0"/>
          <w:sz w:val="21"/>
        </w:rPr>
        <w:t>تقييم مخاطر المتبرعين والمستفيدين والشركاء والقنوات والمناطق والمنتجات.</w:t>
      </w:r>
    </w:p>
    <w:p>
      <w:pPr>
        <w:pStyle w:val="ListBullet"/>
        <w:spacing w:after="60" w:line="269" w:lineRule="auto"/>
        <w:ind w:left="283" w:right="340"/>
        <w:jc w:val="right"/>
        <w:bidi w:val="1"/>
      </w:pPr>
      <w:r>
        <w:rPr>
          <w:rFonts w:ascii="Noto Naskh Arabic" w:hAnsi="Noto Naskh Arabic" w:cs="Noto Naskh Arabic"/>
          <w:b w:val="0"/>
          <w:sz w:val="21"/>
        </w:rPr>
        <w:t>تطبيق عناية واجبة متناسبة مع مستوى الخطر وتحديثها دوريًا.</w:t>
      </w:r>
    </w:p>
    <w:p>
      <w:pPr>
        <w:spacing w:before="160" w:after="100" w:line="276" w:lineRule="auto"/>
        <w:jc w:val="right"/>
        <w:bidi w:val="1"/>
      </w:pPr>
      <w:r>
        <w:rPr>
          <w:rFonts w:ascii="Noto Naskh Arabic" w:hAnsi="Noto Naskh Arabic" w:cs="Noto Naskh Arabic"/>
          <w:b/>
          <w:color w:val="155B4C"/>
          <w:sz w:val="26"/>
        </w:rPr>
        <w:t>التحقق والعناية</w:t>
      </w:r>
    </w:p>
    <w:p>
      <w:pPr>
        <w:pStyle w:val="ListBullet"/>
        <w:spacing w:after="60" w:line="269" w:lineRule="auto"/>
        <w:ind w:left="283" w:right="340"/>
        <w:jc w:val="right"/>
        <w:bidi w:val="1"/>
      </w:pPr>
      <w:r>
        <w:rPr>
          <w:rFonts w:ascii="Noto Naskh Arabic" w:hAnsi="Noto Naskh Arabic" w:cs="Noto Naskh Arabic"/>
          <w:b w:val="0"/>
          <w:sz w:val="21"/>
        </w:rPr>
        <w:t>جمع بيانات الهوية والصفة والغرض ومصدر الأموال عند الحاجة النظامية.</w:t>
      </w:r>
    </w:p>
    <w:p>
      <w:pPr>
        <w:pStyle w:val="ListBullet"/>
        <w:spacing w:after="60" w:line="269" w:lineRule="auto"/>
        <w:ind w:left="283" w:right="340"/>
        <w:jc w:val="right"/>
        <w:bidi w:val="1"/>
      </w:pPr>
      <w:r>
        <w:rPr>
          <w:rFonts w:ascii="Noto Naskh Arabic" w:hAnsi="Noto Naskh Arabic" w:cs="Noto Naskh Arabic"/>
          <w:b w:val="0"/>
          <w:sz w:val="21"/>
        </w:rPr>
        <w:t>التحقق من المستفيد الحقيقي للأطراف الاعتبارية عند انطباق المتطلبات.</w:t>
      </w:r>
    </w:p>
    <w:p>
      <w:pPr>
        <w:pStyle w:val="ListBullet"/>
        <w:spacing w:after="60" w:line="269" w:lineRule="auto"/>
        <w:ind w:left="283" w:right="340"/>
        <w:jc w:val="right"/>
        <w:bidi w:val="1"/>
      </w:pPr>
      <w:r>
        <w:rPr>
          <w:rFonts w:ascii="Noto Naskh Arabic" w:hAnsi="Noto Naskh Arabic" w:cs="Noto Naskh Arabic"/>
          <w:b w:val="0"/>
          <w:sz w:val="21"/>
        </w:rPr>
        <w:t>فحص الأطراف وفق القوائم والقيود الرسمية المتاحة وبإجراءات موثقة.</w:t>
      </w:r>
    </w:p>
    <w:p>
      <w:pPr>
        <w:spacing w:before="160" w:after="100" w:line="276" w:lineRule="auto"/>
        <w:jc w:val="right"/>
        <w:bidi w:val="1"/>
      </w:pPr>
      <w:r>
        <w:rPr>
          <w:rFonts w:ascii="Noto Naskh Arabic" w:hAnsi="Noto Naskh Arabic" w:cs="Noto Naskh Arabic"/>
          <w:b/>
          <w:color w:val="155B4C"/>
          <w:sz w:val="26"/>
        </w:rPr>
        <w:t>المؤشرات التحذيرية</w:t>
      </w:r>
    </w:p>
    <w:p>
      <w:pPr>
        <w:pStyle w:val="ListBullet"/>
        <w:spacing w:after="60" w:line="269" w:lineRule="auto"/>
        <w:ind w:left="283" w:right="340"/>
        <w:jc w:val="right"/>
        <w:bidi w:val="1"/>
      </w:pPr>
      <w:r>
        <w:rPr>
          <w:rFonts w:ascii="Noto Naskh Arabic" w:hAnsi="Noto Naskh Arabic" w:cs="Noto Naskh Arabic"/>
          <w:b w:val="0"/>
          <w:sz w:val="21"/>
        </w:rPr>
        <w:t>تبرعات أو تحويلات غير منسجمة مع طبيعة الطرف، أو طلبات استرداد غير مبررة، أو تجزئة عمليات، أو إصرار على إخفاء الهوية.</w:t>
      </w:r>
    </w:p>
    <w:p>
      <w:pPr>
        <w:spacing w:before="160" w:after="100" w:line="276" w:lineRule="auto"/>
        <w:jc w:val="right"/>
        <w:bidi w:val="1"/>
      </w:pPr>
      <w:r>
        <w:rPr>
          <w:rFonts w:ascii="Noto Naskh Arabic" w:hAnsi="Noto Naskh Arabic" w:cs="Noto Naskh Arabic"/>
          <w:b/>
          <w:color w:val="155B4C"/>
          <w:sz w:val="26"/>
        </w:rPr>
        <w:t>التصعيد والإبلاغ</w:t>
      </w:r>
    </w:p>
    <w:p>
      <w:pPr>
        <w:pStyle w:val="ListBullet"/>
        <w:spacing w:after="60" w:line="269" w:lineRule="auto"/>
        <w:ind w:left="283" w:right="340"/>
        <w:jc w:val="right"/>
        <w:bidi w:val="1"/>
      </w:pPr>
      <w:r>
        <w:rPr>
          <w:rFonts w:ascii="Noto Naskh Arabic" w:hAnsi="Noto Naskh Arabic" w:cs="Noto Naskh Arabic"/>
          <w:b w:val="0"/>
          <w:sz w:val="21"/>
        </w:rPr>
        <w:t>يرفع الاشتباه لمسؤول الامتثال دون تنبيه الطرف المشتبه به، وتتبع قنوات الإبلاغ الرسمية.</w:t>
      </w:r>
    </w:p>
    <w:p>
      <w:pPr>
        <w:spacing w:before="160" w:after="100" w:line="276" w:lineRule="auto"/>
        <w:jc w:val="right"/>
        <w:bidi w:val="1"/>
      </w:pPr>
      <w:r>
        <w:rPr>
          <w:rFonts w:ascii="Noto Naskh Arabic" w:hAnsi="Noto Naskh Arabic" w:cs="Noto Naskh Arabic"/>
          <w:b/>
          <w:color w:val="155B4C"/>
          <w:sz w:val="26"/>
        </w:rPr>
        <w:t>السجلات والتدريب</w:t>
      </w:r>
    </w:p>
    <w:p>
      <w:pPr>
        <w:pStyle w:val="ListBullet"/>
        <w:spacing w:after="60" w:line="269" w:lineRule="auto"/>
        <w:ind w:left="283" w:right="340"/>
        <w:jc w:val="right"/>
        <w:bidi w:val="1"/>
      </w:pPr>
      <w:r>
        <w:rPr>
          <w:rFonts w:ascii="Noto Naskh Arabic" w:hAnsi="Noto Naskh Arabic" w:cs="Noto Naskh Arabic"/>
          <w:b w:val="0"/>
          <w:sz w:val="21"/>
        </w:rPr>
        <w:t>تحفظ سجلات الفحص والقرارات والتدريب، ويحدث الوعي بحسب المخاطر.</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