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التعامل مع الشركاء المنفذين والأطراف الثالثة</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ضمان اختيار ومتابعة الشركاء والموردين والجهات المنفذة بطريقة تحمي الجمعية والمستفيدين والتمويل.</w:t>
      </w:r>
    </w:p>
    <w:p>
      <w:pPr>
        <w:spacing w:before="160" w:after="100" w:line="276" w:lineRule="auto"/>
        <w:jc w:val="right"/>
        <w:bidi w:val="1"/>
      </w:pPr>
      <w:r>
        <w:rPr>
          <w:rFonts w:ascii="Noto Naskh Arabic" w:hAnsi="Noto Naskh Arabic" w:cs="Noto Naskh Arabic"/>
          <w:b/>
          <w:color w:val="155B4C"/>
          <w:sz w:val="26"/>
        </w:rPr>
        <w:t>العناية الواجبة</w:t>
      </w:r>
    </w:p>
    <w:p>
      <w:pPr>
        <w:pStyle w:val="ListBullet"/>
        <w:spacing w:after="60" w:line="269" w:lineRule="auto"/>
        <w:ind w:left="283" w:right="340"/>
        <w:jc w:val="right"/>
        <w:bidi w:val="1"/>
      </w:pPr>
      <w:r>
        <w:rPr>
          <w:rFonts w:ascii="Noto Naskh Arabic" w:hAnsi="Noto Naskh Arabic" w:cs="Noto Naskh Arabic"/>
          <w:b w:val="0"/>
          <w:sz w:val="21"/>
        </w:rPr>
        <w:t>التحقق من الهوية والترخيص والخبرة والقدرة المالية والسمعة وتعارض المصالح والمخاطر النظامية.</w:t>
      </w:r>
    </w:p>
    <w:p>
      <w:pPr>
        <w:spacing w:before="160" w:after="100" w:line="276" w:lineRule="auto"/>
        <w:jc w:val="right"/>
        <w:bidi w:val="1"/>
      </w:pPr>
      <w:r>
        <w:rPr>
          <w:rFonts w:ascii="Noto Naskh Arabic" w:hAnsi="Noto Naskh Arabic" w:cs="Noto Naskh Arabic"/>
          <w:b/>
          <w:color w:val="155B4C"/>
          <w:sz w:val="26"/>
        </w:rPr>
        <w:t>الاختيار</w:t>
      </w:r>
    </w:p>
    <w:p>
      <w:pPr>
        <w:pStyle w:val="ListBullet"/>
        <w:spacing w:after="60" w:line="269" w:lineRule="auto"/>
        <w:ind w:left="283" w:right="340"/>
        <w:jc w:val="right"/>
        <w:bidi w:val="1"/>
      </w:pPr>
      <w:r>
        <w:rPr>
          <w:rFonts w:ascii="Noto Naskh Arabic" w:hAnsi="Noto Naskh Arabic" w:cs="Noto Naskh Arabic"/>
          <w:b w:val="0"/>
          <w:sz w:val="21"/>
        </w:rPr>
        <w:t>تطبق معايير معلنة ومقارنة موثقة وموافقة وفق الصلاحيات، ويمنع التحيز أو تجزئة العقود.</w:t>
      </w:r>
    </w:p>
    <w:p>
      <w:pPr>
        <w:spacing w:before="160" w:after="100" w:line="276" w:lineRule="auto"/>
        <w:jc w:val="right"/>
        <w:bidi w:val="1"/>
      </w:pPr>
      <w:r>
        <w:rPr>
          <w:rFonts w:ascii="Noto Naskh Arabic" w:hAnsi="Noto Naskh Arabic" w:cs="Noto Naskh Arabic"/>
          <w:b/>
          <w:color w:val="155B4C"/>
          <w:sz w:val="26"/>
        </w:rPr>
        <w:t>العقد</w:t>
      </w:r>
    </w:p>
    <w:p>
      <w:pPr>
        <w:pStyle w:val="ListBullet"/>
        <w:spacing w:after="60" w:line="269" w:lineRule="auto"/>
        <w:ind w:left="283" w:right="340"/>
        <w:jc w:val="right"/>
        <w:bidi w:val="1"/>
      </w:pPr>
      <w:r>
        <w:rPr>
          <w:rFonts w:ascii="Noto Naskh Arabic" w:hAnsi="Noto Naskh Arabic" w:cs="Noto Naskh Arabic"/>
          <w:b w:val="0"/>
          <w:sz w:val="21"/>
        </w:rPr>
        <w:t>يحدد النطاق والمخرجات والمؤشرات والميزانية وملكية البيانات والسرية وحماية المستفيدين والتدقيق والإنهاء.</w:t>
      </w:r>
    </w:p>
    <w:p>
      <w:pPr>
        <w:spacing w:before="160" w:after="100" w:line="276" w:lineRule="auto"/>
        <w:jc w:val="right"/>
        <w:bidi w:val="1"/>
      </w:pPr>
      <w:r>
        <w:rPr>
          <w:rFonts w:ascii="Noto Naskh Arabic" w:hAnsi="Noto Naskh Arabic" w:cs="Noto Naskh Arabic"/>
          <w:b/>
          <w:color w:val="155B4C"/>
          <w:sz w:val="26"/>
        </w:rPr>
        <w:t>المتابعة</w:t>
      </w:r>
    </w:p>
    <w:p>
      <w:pPr>
        <w:pStyle w:val="ListBullet"/>
        <w:spacing w:after="60" w:line="269" w:lineRule="auto"/>
        <w:ind w:left="283" w:right="340"/>
        <w:jc w:val="right"/>
        <w:bidi w:val="1"/>
      </w:pPr>
      <w:r>
        <w:rPr>
          <w:rFonts w:ascii="Noto Naskh Arabic" w:hAnsi="Noto Naskh Arabic" w:cs="Noto Naskh Arabic"/>
          <w:b w:val="0"/>
          <w:sz w:val="21"/>
        </w:rPr>
        <w:t>تقارير دورية، وزيارات أو تحقق من الأدلة، ومراجعة مالية وفنية، وتسجيل المخالفات وخطط التصحيح.</w:t>
      </w:r>
    </w:p>
    <w:p>
      <w:pPr>
        <w:spacing w:before="160" w:after="100" w:line="276" w:lineRule="auto"/>
        <w:jc w:val="right"/>
        <w:bidi w:val="1"/>
      </w:pPr>
      <w:r>
        <w:rPr>
          <w:rFonts w:ascii="Noto Naskh Arabic" w:hAnsi="Noto Naskh Arabic" w:cs="Noto Naskh Arabic"/>
          <w:b/>
          <w:color w:val="155B4C"/>
          <w:sz w:val="26"/>
        </w:rPr>
        <w:t>المدفوعات</w:t>
      </w:r>
    </w:p>
    <w:p>
      <w:pPr>
        <w:pStyle w:val="ListBullet"/>
        <w:spacing w:after="60" w:line="269" w:lineRule="auto"/>
        <w:ind w:left="283" w:right="340"/>
        <w:jc w:val="right"/>
        <w:bidi w:val="1"/>
      </w:pPr>
      <w:r>
        <w:rPr>
          <w:rFonts w:ascii="Noto Naskh Arabic" w:hAnsi="Noto Naskh Arabic" w:cs="Noto Naskh Arabic"/>
          <w:b w:val="0"/>
          <w:sz w:val="21"/>
        </w:rPr>
        <w:t>ترتبط الدفعات بمخرجات قابلة للتحقق وموافقات ومستندات، وتسترد المبالغ غير المستحقة.</w:t>
      </w:r>
    </w:p>
    <w:p>
      <w:pPr>
        <w:spacing w:before="160" w:after="100" w:line="276" w:lineRule="auto"/>
        <w:jc w:val="right"/>
        <w:bidi w:val="1"/>
      </w:pPr>
      <w:r>
        <w:rPr>
          <w:rFonts w:ascii="Noto Naskh Arabic" w:hAnsi="Noto Naskh Arabic" w:cs="Noto Naskh Arabic"/>
          <w:b/>
          <w:color w:val="155B4C"/>
          <w:sz w:val="26"/>
        </w:rPr>
        <w:t>إنهاء العلاقة</w:t>
      </w:r>
    </w:p>
    <w:p>
      <w:pPr>
        <w:pStyle w:val="ListBullet"/>
        <w:spacing w:after="60" w:line="269" w:lineRule="auto"/>
        <w:ind w:left="283" w:right="340"/>
        <w:jc w:val="right"/>
        <w:bidi w:val="1"/>
      </w:pPr>
      <w:r>
        <w:rPr>
          <w:rFonts w:ascii="Noto Naskh Arabic" w:hAnsi="Noto Naskh Arabic" w:cs="Noto Naskh Arabic"/>
          <w:b w:val="0"/>
          <w:sz w:val="21"/>
        </w:rPr>
        <w:t>تحدد حالات التعليق والإنهاء وتسليم البيانات والأصول وإغلاق الالتزامات.</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