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سياسة الصرف على البرامج والأنشطة</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السياسات.</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الهدف</w:t>
      </w:r>
    </w:p>
    <w:p>
      <w:pPr>
        <w:pStyle w:val="ListBullet"/>
        <w:spacing w:after="60" w:line="269" w:lineRule="auto"/>
        <w:ind w:left="283" w:right="340"/>
        <w:jc w:val="right"/>
        <w:bidi w:val="1"/>
      </w:pPr>
      <w:r>
        <w:rPr>
          <w:rFonts w:ascii="Noto Naskh Arabic" w:hAnsi="Noto Naskh Arabic" w:cs="Noto Naskh Arabic"/>
          <w:b w:val="0"/>
          <w:sz w:val="21"/>
        </w:rPr>
        <w:t>ضمان ارتباط الصرف بأهداف البرامج وموازناتها ونتائجها وتحقيق أفضل قيمة للمستفيدين.</w:t>
      </w:r>
    </w:p>
    <w:p>
      <w:pPr>
        <w:spacing w:before="160" w:after="100" w:line="276" w:lineRule="auto"/>
        <w:jc w:val="right"/>
        <w:bidi w:val="1"/>
      </w:pPr>
      <w:r>
        <w:rPr>
          <w:rFonts w:ascii="Noto Naskh Arabic" w:hAnsi="Noto Naskh Arabic" w:cs="Noto Naskh Arabic"/>
          <w:b/>
          <w:color w:val="155B4C"/>
          <w:sz w:val="26"/>
        </w:rPr>
        <w:t>الاعتماد</w:t>
      </w:r>
    </w:p>
    <w:p>
      <w:pPr>
        <w:pStyle w:val="ListBullet"/>
        <w:spacing w:after="60" w:line="269" w:lineRule="auto"/>
        <w:ind w:left="283" w:right="340"/>
        <w:jc w:val="right"/>
        <w:bidi w:val="1"/>
      </w:pPr>
      <w:r>
        <w:rPr>
          <w:rFonts w:ascii="Noto Naskh Arabic" w:hAnsi="Noto Naskh Arabic" w:cs="Noto Naskh Arabic"/>
          <w:b w:val="0"/>
          <w:sz w:val="21"/>
        </w:rPr>
        <w:t>لا يبدأ الصرف قبل اعتماد البرنامج وخطته وموازنته ومصدر تمويله ومسؤول التنفيذ.</w:t>
      </w:r>
    </w:p>
    <w:p>
      <w:pPr>
        <w:spacing w:before="160" w:after="100" w:line="276" w:lineRule="auto"/>
        <w:jc w:val="right"/>
        <w:bidi w:val="1"/>
      </w:pPr>
      <w:r>
        <w:rPr>
          <w:rFonts w:ascii="Noto Naskh Arabic" w:hAnsi="Noto Naskh Arabic" w:cs="Noto Naskh Arabic"/>
          <w:b/>
          <w:color w:val="155B4C"/>
          <w:sz w:val="26"/>
        </w:rPr>
        <w:t>الضوابط</w:t>
      </w:r>
    </w:p>
    <w:p>
      <w:pPr>
        <w:pStyle w:val="ListBullet"/>
        <w:spacing w:after="60" w:line="269" w:lineRule="auto"/>
        <w:ind w:left="283" w:right="340"/>
        <w:jc w:val="right"/>
        <w:bidi w:val="1"/>
      </w:pPr>
      <w:r>
        <w:rPr>
          <w:rFonts w:ascii="Noto Naskh Arabic" w:hAnsi="Noto Naskh Arabic" w:cs="Noto Naskh Arabic"/>
          <w:b w:val="0"/>
          <w:sz w:val="21"/>
        </w:rPr>
        <w:t>طلب شراء أو صرف، ومنافسة بحسب القيمة، ومستندات مؤيدة، وإثبات استلام أو تنفيذ، ومراجعة تعارض المصالح.</w:t>
      </w:r>
    </w:p>
    <w:p>
      <w:pPr>
        <w:spacing w:before="160" w:after="100" w:line="276" w:lineRule="auto"/>
        <w:jc w:val="right"/>
        <w:bidi w:val="1"/>
      </w:pPr>
      <w:r>
        <w:rPr>
          <w:rFonts w:ascii="Noto Naskh Arabic" w:hAnsi="Noto Naskh Arabic" w:cs="Noto Naskh Arabic"/>
          <w:b/>
          <w:color w:val="155B4C"/>
          <w:sz w:val="26"/>
        </w:rPr>
        <w:t>التكاليف المباشرة وغير المباشرة</w:t>
      </w:r>
    </w:p>
    <w:p>
      <w:pPr>
        <w:pStyle w:val="ListBullet"/>
        <w:spacing w:after="60" w:line="269" w:lineRule="auto"/>
        <w:ind w:left="283" w:right="340"/>
        <w:jc w:val="right"/>
        <w:bidi w:val="1"/>
      </w:pPr>
      <w:r>
        <w:rPr>
          <w:rFonts w:ascii="Noto Naskh Arabic" w:hAnsi="Noto Naskh Arabic" w:cs="Noto Naskh Arabic"/>
          <w:b w:val="0"/>
          <w:sz w:val="21"/>
        </w:rPr>
        <w:t>تعرف أسس توزيع التكاليف المشتركة وتطبق بصورة ثابتة وقابلة للتفسير للمانحين والمراجعين.</w:t>
      </w:r>
    </w:p>
    <w:p>
      <w:pPr>
        <w:spacing w:before="160" w:after="100" w:line="276" w:lineRule="auto"/>
        <w:jc w:val="right"/>
        <w:bidi w:val="1"/>
      </w:pPr>
      <w:r>
        <w:rPr>
          <w:rFonts w:ascii="Noto Naskh Arabic" w:hAnsi="Noto Naskh Arabic" w:cs="Noto Naskh Arabic"/>
          <w:b/>
          <w:color w:val="155B4C"/>
          <w:sz w:val="26"/>
        </w:rPr>
        <w:t>التغييرات</w:t>
      </w:r>
    </w:p>
    <w:p>
      <w:pPr>
        <w:pStyle w:val="ListBullet"/>
        <w:spacing w:after="60" w:line="269" w:lineRule="auto"/>
        <w:ind w:left="283" w:right="340"/>
        <w:jc w:val="right"/>
        <w:bidi w:val="1"/>
      </w:pPr>
      <w:r>
        <w:rPr>
          <w:rFonts w:ascii="Noto Naskh Arabic" w:hAnsi="Noto Naskh Arabic" w:cs="Noto Naskh Arabic"/>
          <w:b w:val="0"/>
          <w:sz w:val="21"/>
        </w:rPr>
        <w:t>تعتمد المناقلات أو التعديلات الجوهرية قبل الالتزام، وتراعى شروط الممول والتبرعات المقيدة.</w:t>
      </w:r>
    </w:p>
    <w:p>
      <w:pPr>
        <w:spacing w:before="160" w:after="100" w:line="276" w:lineRule="auto"/>
        <w:jc w:val="right"/>
        <w:bidi w:val="1"/>
      </w:pPr>
      <w:r>
        <w:rPr>
          <w:rFonts w:ascii="Noto Naskh Arabic" w:hAnsi="Noto Naskh Arabic" w:cs="Noto Naskh Arabic"/>
          <w:b/>
          <w:color w:val="155B4C"/>
          <w:sz w:val="26"/>
        </w:rPr>
        <w:t>الإغلاق</w:t>
      </w:r>
    </w:p>
    <w:p>
      <w:pPr>
        <w:pStyle w:val="ListBullet"/>
        <w:spacing w:after="60" w:line="269" w:lineRule="auto"/>
        <w:ind w:left="283" w:right="340"/>
        <w:jc w:val="right"/>
        <w:bidi w:val="1"/>
      </w:pPr>
      <w:r>
        <w:rPr>
          <w:rFonts w:ascii="Noto Naskh Arabic" w:hAnsi="Noto Naskh Arabic" w:cs="Noto Naskh Arabic"/>
          <w:b w:val="0"/>
          <w:sz w:val="21"/>
        </w:rPr>
        <w:t>تسوى العهد والالتزامات، وتراجع النتائج مقابل التكلفة، وتحفظ الأدلة والتقرير الختامي.</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